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8C4" w:rsidRDefault="00D018C4" w:rsidP="00D018C4">
      <w:pPr>
        <w:autoSpaceDE w:val="0"/>
        <w:autoSpaceDN w:val="0"/>
        <w:adjustRightInd w:val="0"/>
        <w:spacing w:after="0" w:line="240" w:lineRule="auto"/>
        <w:jc w:val="center"/>
        <w:rPr>
          <w:rFonts w:ascii="Arial" w:hAnsi="Arial" w:cs="Arial"/>
          <w:b/>
          <w:bCs/>
          <w:sz w:val="36"/>
          <w:szCs w:val="28"/>
        </w:rPr>
      </w:pPr>
      <w:r>
        <w:rPr>
          <w:rFonts w:ascii="Arial" w:hAnsi="Arial" w:cs="Arial"/>
          <w:b/>
          <w:bCs/>
          <w:noProof/>
          <w:sz w:val="36"/>
          <w:szCs w:val="28"/>
        </w:rPr>
        <w:drawing>
          <wp:anchor distT="0" distB="0" distL="114300" distR="114300" simplePos="0" relativeHeight="251658240" behindDoc="1" locked="0" layoutInCell="1" allowOverlap="1" wp14:anchorId="791E9F76" wp14:editId="26D85E84">
            <wp:simplePos x="0" y="0"/>
            <wp:positionH relativeFrom="column">
              <wp:posOffset>-485775</wp:posOffset>
            </wp:positionH>
            <wp:positionV relativeFrom="paragraph">
              <wp:posOffset>-575310</wp:posOffset>
            </wp:positionV>
            <wp:extent cx="2438400" cy="813435"/>
            <wp:effectExtent l="0" t="0" r="0" b="5715"/>
            <wp:wrapTight wrapText="bothSides">
              <wp:wrapPolygon edited="0">
                <wp:start x="0" y="0"/>
                <wp:lineTo x="0" y="21246"/>
                <wp:lineTo x="21431" y="21246"/>
                <wp:lineTo x="2143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C New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38400" cy="813435"/>
                    </a:xfrm>
                    <a:prstGeom prst="rect">
                      <a:avLst/>
                    </a:prstGeom>
                  </pic:spPr>
                </pic:pic>
              </a:graphicData>
            </a:graphic>
            <wp14:sizeRelH relativeFrom="page">
              <wp14:pctWidth>0</wp14:pctWidth>
            </wp14:sizeRelH>
            <wp14:sizeRelV relativeFrom="page">
              <wp14:pctHeight>0</wp14:pctHeight>
            </wp14:sizeRelV>
          </wp:anchor>
        </w:drawing>
      </w:r>
    </w:p>
    <w:p w:rsidR="00D018C4" w:rsidRDefault="00D018C4" w:rsidP="00D018C4">
      <w:pPr>
        <w:autoSpaceDE w:val="0"/>
        <w:autoSpaceDN w:val="0"/>
        <w:adjustRightInd w:val="0"/>
        <w:spacing w:after="0" w:line="240" w:lineRule="auto"/>
        <w:jc w:val="center"/>
        <w:rPr>
          <w:rFonts w:ascii="Arial" w:hAnsi="Arial" w:cs="Arial"/>
          <w:b/>
          <w:bCs/>
          <w:sz w:val="36"/>
          <w:szCs w:val="28"/>
        </w:rPr>
      </w:pPr>
    </w:p>
    <w:p w:rsidR="00D018C4" w:rsidRPr="00CC6F19" w:rsidRDefault="00D018C4" w:rsidP="00D018C4">
      <w:pPr>
        <w:autoSpaceDE w:val="0"/>
        <w:autoSpaceDN w:val="0"/>
        <w:adjustRightInd w:val="0"/>
        <w:spacing w:after="0" w:line="240" w:lineRule="auto"/>
        <w:jc w:val="center"/>
        <w:rPr>
          <w:rFonts w:ascii="Arial" w:hAnsi="Arial" w:cs="Arial"/>
          <w:b/>
          <w:bCs/>
          <w:sz w:val="32"/>
          <w:szCs w:val="28"/>
        </w:rPr>
      </w:pPr>
      <w:r w:rsidRPr="00CC6F19">
        <w:rPr>
          <w:rFonts w:ascii="Arial" w:hAnsi="Arial" w:cs="Arial"/>
          <w:b/>
          <w:bCs/>
          <w:sz w:val="32"/>
          <w:szCs w:val="28"/>
        </w:rPr>
        <w:t>Common Boa</w:t>
      </w:r>
      <w:bookmarkStart w:id="0" w:name="_GoBack"/>
      <w:r w:rsidRPr="00CC6F19">
        <w:rPr>
          <w:rFonts w:ascii="Arial" w:hAnsi="Arial" w:cs="Arial"/>
          <w:b/>
          <w:bCs/>
          <w:sz w:val="32"/>
          <w:szCs w:val="28"/>
        </w:rPr>
        <w:t>r</w:t>
      </w:r>
      <w:bookmarkEnd w:id="0"/>
      <w:r w:rsidRPr="00CC6F19">
        <w:rPr>
          <w:rFonts w:ascii="Arial" w:hAnsi="Arial" w:cs="Arial"/>
          <w:b/>
          <w:bCs/>
          <w:sz w:val="32"/>
          <w:szCs w:val="28"/>
        </w:rPr>
        <w:t xml:space="preserve">d </w:t>
      </w:r>
      <w:r w:rsidR="005E4C11" w:rsidRPr="00CC6F19">
        <w:rPr>
          <w:rFonts w:ascii="Arial" w:hAnsi="Arial" w:cs="Arial"/>
          <w:b/>
          <w:bCs/>
          <w:sz w:val="32"/>
          <w:szCs w:val="28"/>
        </w:rPr>
        <w:t>Issues</w:t>
      </w:r>
      <w:r w:rsidR="007E7BCB" w:rsidRPr="00CC6F19">
        <w:rPr>
          <w:rStyle w:val="FootnoteReference"/>
          <w:rFonts w:ascii="Arial" w:hAnsi="Arial" w:cs="Arial"/>
          <w:b/>
          <w:bCs/>
          <w:sz w:val="32"/>
          <w:szCs w:val="28"/>
        </w:rPr>
        <w:footnoteReference w:id="1"/>
      </w:r>
    </w:p>
    <w:p w:rsidR="00D018C4" w:rsidRDefault="00D018C4" w:rsidP="00D018C4">
      <w:pPr>
        <w:autoSpaceDE w:val="0"/>
        <w:autoSpaceDN w:val="0"/>
        <w:adjustRightInd w:val="0"/>
        <w:spacing w:after="0" w:line="240" w:lineRule="auto"/>
        <w:rPr>
          <w:rFonts w:ascii="Arial" w:hAnsi="Arial" w:cs="Arial"/>
          <w:i/>
          <w:iCs/>
        </w:rPr>
      </w:pPr>
    </w:p>
    <w:p w:rsidR="00D018C4" w:rsidRPr="00CC6F19" w:rsidRDefault="00D018C4" w:rsidP="00D018C4">
      <w:pPr>
        <w:autoSpaceDE w:val="0"/>
        <w:autoSpaceDN w:val="0"/>
        <w:adjustRightInd w:val="0"/>
        <w:spacing w:after="0" w:line="240" w:lineRule="auto"/>
        <w:rPr>
          <w:rFonts w:cs="ArialMT"/>
          <w:sz w:val="24"/>
          <w:szCs w:val="24"/>
        </w:rPr>
      </w:pPr>
      <w:r w:rsidRPr="00CC6F19">
        <w:rPr>
          <w:rFonts w:cs="ArialMT"/>
          <w:sz w:val="24"/>
          <w:szCs w:val="24"/>
        </w:rPr>
        <w:t>What are the main weaknesses, omissions, mistakes, flaws, bad judgments, and sins that a board or an individual board member can commit? This is a list of several ways that a governing board can lose its way.</w:t>
      </w:r>
    </w:p>
    <w:p w:rsidR="00D018C4" w:rsidRPr="00CC6F19" w:rsidRDefault="00D018C4" w:rsidP="00D018C4">
      <w:pPr>
        <w:autoSpaceDE w:val="0"/>
        <w:autoSpaceDN w:val="0"/>
        <w:adjustRightInd w:val="0"/>
        <w:spacing w:after="0" w:line="240" w:lineRule="auto"/>
        <w:rPr>
          <w:rFonts w:cs="ArialMT"/>
          <w:sz w:val="24"/>
          <w:szCs w:val="24"/>
        </w:rPr>
      </w:pPr>
    </w:p>
    <w:p w:rsidR="00D018C4" w:rsidRPr="00CC6F19" w:rsidRDefault="00D018C4" w:rsidP="00D018C4">
      <w:pPr>
        <w:numPr>
          <w:ilvl w:val="0"/>
          <w:numId w:val="1"/>
        </w:numPr>
        <w:autoSpaceDE w:val="0"/>
        <w:autoSpaceDN w:val="0"/>
        <w:adjustRightInd w:val="0"/>
        <w:spacing w:after="0"/>
        <w:rPr>
          <w:rFonts w:cs="Arial"/>
          <w:b/>
          <w:bCs/>
          <w:sz w:val="24"/>
          <w:szCs w:val="24"/>
        </w:rPr>
      </w:pPr>
      <w:r w:rsidRPr="00CC6F19">
        <w:rPr>
          <w:rFonts w:cs="Arial"/>
          <w:b/>
          <w:bCs/>
          <w:sz w:val="24"/>
          <w:szCs w:val="24"/>
        </w:rPr>
        <w:t xml:space="preserve">Veering off the mission </w:t>
      </w:r>
      <w:r w:rsidRPr="00CC6F19">
        <w:rPr>
          <w:rFonts w:cs="Arial"/>
          <w:bCs/>
          <w:sz w:val="24"/>
          <w:szCs w:val="24"/>
        </w:rPr>
        <w:t>(Clean your glasses, get focused!)</w:t>
      </w:r>
    </w:p>
    <w:p w:rsidR="00D018C4" w:rsidRPr="00CC6F19" w:rsidRDefault="00D018C4" w:rsidP="00D018C4">
      <w:pPr>
        <w:autoSpaceDE w:val="0"/>
        <w:autoSpaceDN w:val="0"/>
        <w:adjustRightInd w:val="0"/>
        <w:spacing w:after="0" w:line="240" w:lineRule="auto"/>
        <w:rPr>
          <w:rFonts w:cs="ArialMT"/>
          <w:sz w:val="24"/>
          <w:szCs w:val="24"/>
        </w:rPr>
      </w:pPr>
      <w:r w:rsidRPr="00CC6F19">
        <w:rPr>
          <w:rFonts w:cs="ArialMT"/>
          <w:sz w:val="24"/>
          <w:szCs w:val="24"/>
        </w:rPr>
        <w:t>The most important decision-making guideline for a board is the mission statement. If the mission is not a central theme at every board meeting, it can be easy for a board to lose focus of the organization’s true purpose</w:t>
      </w:r>
      <w:r w:rsidR="005E4C11" w:rsidRPr="00CC6F19">
        <w:rPr>
          <w:rFonts w:cs="ArialMT"/>
          <w:sz w:val="24"/>
          <w:szCs w:val="24"/>
        </w:rPr>
        <w:t xml:space="preserve"> and veer into mission creep</w:t>
      </w:r>
      <w:r w:rsidRPr="00CC6F19">
        <w:rPr>
          <w:rFonts w:cs="ArialMT"/>
          <w:sz w:val="24"/>
          <w:szCs w:val="24"/>
        </w:rPr>
        <w:t>.</w:t>
      </w:r>
      <w:r w:rsidR="005E4C11" w:rsidRPr="00CC6F19">
        <w:rPr>
          <w:rFonts w:cs="ArialMT"/>
          <w:sz w:val="24"/>
          <w:szCs w:val="24"/>
        </w:rPr>
        <w:t xml:space="preserve"> Example: A youth education organization accepts a generous grant to build </w:t>
      </w:r>
      <w:proofErr w:type="gramStart"/>
      <w:r w:rsidR="005E4C11" w:rsidRPr="00CC6F19">
        <w:rPr>
          <w:rFonts w:cs="ArialMT"/>
          <w:sz w:val="24"/>
          <w:szCs w:val="24"/>
        </w:rPr>
        <w:t>a sports</w:t>
      </w:r>
      <w:proofErr w:type="gramEnd"/>
      <w:r w:rsidR="005E4C11" w:rsidRPr="00CC6F19">
        <w:rPr>
          <w:rFonts w:cs="ArialMT"/>
          <w:sz w:val="24"/>
          <w:szCs w:val="24"/>
        </w:rPr>
        <w:t xml:space="preserve"> facility for young people.</w:t>
      </w:r>
    </w:p>
    <w:p w:rsidR="00D018C4" w:rsidRDefault="00D018C4" w:rsidP="00D018C4">
      <w:pPr>
        <w:autoSpaceDE w:val="0"/>
        <w:autoSpaceDN w:val="0"/>
        <w:adjustRightInd w:val="0"/>
        <w:spacing w:after="0" w:line="240" w:lineRule="auto"/>
        <w:rPr>
          <w:rFonts w:cs="ArialMT"/>
          <w:sz w:val="24"/>
          <w:szCs w:val="24"/>
        </w:rPr>
      </w:pPr>
    </w:p>
    <w:p w:rsidR="00CC6F19" w:rsidRPr="00CC6F19" w:rsidRDefault="00CC6F19" w:rsidP="00D018C4">
      <w:pPr>
        <w:autoSpaceDE w:val="0"/>
        <w:autoSpaceDN w:val="0"/>
        <w:adjustRightInd w:val="0"/>
        <w:spacing w:after="0" w:line="240" w:lineRule="auto"/>
        <w:rPr>
          <w:rFonts w:cs="ArialMT"/>
          <w:sz w:val="24"/>
          <w:szCs w:val="24"/>
        </w:rPr>
      </w:pPr>
    </w:p>
    <w:p w:rsidR="00D018C4" w:rsidRPr="00CC6F19" w:rsidRDefault="00D018C4" w:rsidP="00D018C4">
      <w:pPr>
        <w:autoSpaceDE w:val="0"/>
        <w:autoSpaceDN w:val="0"/>
        <w:adjustRightInd w:val="0"/>
        <w:spacing w:after="0" w:line="240" w:lineRule="auto"/>
        <w:rPr>
          <w:rFonts w:cs="Arial"/>
          <w:bCs/>
          <w:sz w:val="24"/>
          <w:szCs w:val="24"/>
        </w:rPr>
      </w:pPr>
      <w:r w:rsidRPr="00CC6F19">
        <w:rPr>
          <w:rFonts w:cs="Arial"/>
          <w:b/>
          <w:bCs/>
          <w:sz w:val="24"/>
          <w:szCs w:val="24"/>
        </w:rPr>
        <w:t xml:space="preserve">2. Complacency </w:t>
      </w:r>
      <w:r w:rsidRPr="00CC6F19">
        <w:rPr>
          <w:rFonts w:cs="Arial"/>
          <w:bCs/>
          <w:sz w:val="24"/>
          <w:szCs w:val="24"/>
        </w:rPr>
        <w:t>(I don’t know surely they know better?)</w:t>
      </w:r>
    </w:p>
    <w:p w:rsidR="00D018C4" w:rsidRPr="00CC6F19" w:rsidRDefault="00D018C4" w:rsidP="00D018C4">
      <w:pPr>
        <w:autoSpaceDE w:val="0"/>
        <w:autoSpaceDN w:val="0"/>
        <w:adjustRightInd w:val="0"/>
        <w:spacing w:after="0" w:line="240" w:lineRule="auto"/>
        <w:rPr>
          <w:rFonts w:cs="ArialMT"/>
          <w:sz w:val="24"/>
          <w:szCs w:val="24"/>
        </w:rPr>
      </w:pPr>
      <w:r w:rsidRPr="00CC6F19">
        <w:rPr>
          <w:rFonts w:cs="ArialMT"/>
          <w:noProof/>
          <w:sz w:val="24"/>
          <w:szCs w:val="24"/>
        </w:rPr>
        <w:drawing>
          <wp:anchor distT="0" distB="0" distL="114300" distR="114300" simplePos="0" relativeHeight="251659264" behindDoc="1" locked="0" layoutInCell="1" allowOverlap="1" wp14:anchorId="1562ADB4" wp14:editId="05AE9681">
            <wp:simplePos x="0" y="0"/>
            <wp:positionH relativeFrom="column">
              <wp:posOffset>1600200</wp:posOffset>
            </wp:positionH>
            <wp:positionV relativeFrom="paragraph">
              <wp:posOffset>466090</wp:posOffset>
            </wp:positionV>
            <wp:extent cx="4714875" cy="1508125"/>
            <wp:effectExtent l="0" t="0" r="9525" b="0"/>
            <wp:wrapTight wrapText="bothSides">
              <wp:wrapPolygon edited="0">
                <wp:start x="0" y="0"/>
                <wp:lineTo x="0" y="21282"/>
                <wp:lineTo x="21556" y="21282"/>
                <wp:lineTo x="21556" y="0"/>
                <wp:lineTo x="0" y="0"/>
              </wp:wrapPolygon>
            </wp:wrapTight>
            <wp:docPr id="9218" name="Picture 2" descr="http://www.grantland.net/1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18" name="Picture 2" descr="http://www.grantland.net/1003.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14875" cy="1508125"/>
                    </a:xfrm>
                    <a:prstGeom prst="rect">
                      <a:avLst/>
                    </a:prstGeom>
                    <a:noFill/>
                    <a:extLst/>
                  </pic:spPr>
                </pic:pic>
              </a:graphicData>
            </a:graphic>
            <wp14:sizeRelH relativeFrom="page">
              <wp14:pctWidth>0</wp14:pctWidth>
            </wp14:sizeRelH>
            <wp14:sizeRelV relativeFrom="page">
              <wp14:pctHeight>0</wp14:pctHeight>
            </wp14:sizeRelV>
          </wp:anchor>
        </w:drawing>
      </w:r>
      <w:r w:rsidRPr="00CC6F19">
        <w:rPr>
          <w:rFonts w:cs="ArialMT"/>
          <w:sz w:val="24"/>
          <w:szCs w:val="24"/>
        </w:rPr>
        <w:t xml:space="preserve">A core obligation of every board member is active participation. Some symptoms of </w:t>
      </w:r>
      <w:r w:rsidR="005E4C11" w:rsidRPr="00CC6F19">
        <w:rPr>
          <w:rFonts w:cs="ArialMT"/>
          <w:sz w:val="24"/>
          <w:szCs w:val="24"/>
        </w:rPr>
        <w:t>being unengaged can</w:t>
      </w:r>
      <w:r w:rsidRPr="00CC6F19">
        <w:rPr>
          <w:rFonts w:cs="ArialMT"/>
          <w:sz w:val="24"/>
          <w:szCs w:val="24"/>
        </w:rPr>
        <w:t xml:space="preserve"> include board members who put off their assignments</w:t>
      </w:r>
      <w:r w:rsidR="005E4C11" w:rsidRPr="00CC6F19">
        <w:rPr>
          <w:rFonts w:cs="ArialMT"/>
          <w:sz w:val="24"/>
          <w:szCs w:val="24"/>
        </w:rPr>
        <w:t xml:space="preserve"> and not being accountable</w:t>
      </w:r>
      <w:r w:rsidRPr="00CC6F19">
        <w:rPr>
          <w:rFonts w:cs="ArialMT"/>
          <w:sz w:val="24"/>
          <w:szCs w:val="24"/>
        </w:rPr>
        <w:t>, disregard the core responsibilities, fail to ask questions, or miss meetings.</w:t>
      </w:r>
      <w:r w:rsidR="005E4C11" w:rsidRPr="00CC6F19">
        <w:rPr>
          <w:rFonts w:cs="ArialMT"/>
          <w:sz w:val="24"/>
          <w:szCs w:val="24"/>
        </w:rPr>
        <w:t xml:space="preserve"> Example: A board member does not know how to analyze financial statements. Instead of asking questions, he votes with the majority.</w:t>
      </w:r>
    </w:p>
    <w:p w:rsidR="00D018C4" w:rsidRDefault="00D018C4" w:rsidP="00D018C4">
      <w:pPr>
        <w:autoSpaceDE w:val="0"/>
        <w:autoSpaceDN w:val="0"/>
        <w:adjustRightInd w:val="0"/>
        <w:spacing w:after="0" w:line="240" w:lineRule="auto"/>
        <w:rPr>
          <w:rFonts w:cs="ArialMT"/>
          <w:sz w:val="24"/>
          <w:szCs w:val="24"/>
        </w:rPr>
      </w:pPr>
    </w:p>
    <w:p w:rsidR="00CC6F19" w:rsidRPr="00CC6F19" w:rsidRDefault="00CC6F19" w:rsidP="00D018C4">
      <w:pPr>
        <w:autoSpaceDE w:val="0"/>
        <w:autoSpaceDN w:val="0"/>
        <w:adjustRightInd w:val="0"/>
        <w:spacing w:after="0" w:line="240" w:lineRule="auto"/>
        <w:rPr>
          <w:rFonts w:cs="ArialMT"/>
          <w:sz w:val="24"/>
          <w:szCs w:val="24"/>
        </w:rPr>
      </w:pPr>
    </w:p>
    <w:p w:rsidR="00D018C4" w:rsidRPr="00CC6F19" w:rsidRDefault="00D018C4" w:rsidP="00D018C4">
      <w:pPr>
        <w:autoSpaceDE w:val="0"/>
        <w:autoSpaceDN w:val="0"/>
        <w:adjustRightInd w:val="0"/>
        <w:spacing w:after="0" w:line="240" w:lineRule="auto"/>
        <w:rPr>
          <w:rFonts w:cs="Arial"/>
          <w:b/>
          <w:bCs/>
          <w:sz w:val="24"/>
          <w:szCs w:val="24"/>
        </w:rPr>
      </w:pPr>
      <w:r w:rsidRPr="00CC6F19">
        <w:rPr>
          <w:rFonts w:cs="Arial"/>
          <w:b/>
          <w:bCs/>
          <w:sz w:val="24"/>
          <w:szCs w:val="24"/>
        </w:rPr>
        <w:t xml:space="preserve">3. Misguided motivations </w:t>
      </w:r>
      <w:r w:rsidRPr="00CC6F19">
        <w:rPr>
          <w:sz w:val="24"/>
          <w:szCs w:val="24"/>
        </w:rPr>
        <w:t>(I care, but maybe about the wrong things.)</w:t>
      </w:r>
    </w:p>
    <w:p w:rsidR="005E4C11" w:rsidRPr="00CC6F19" w:rsidRDefault="00D018C4" w:rsidP="005E4C11">
      <w:pPr>
        <w:autoSpaceDE w:val="0"/>
        <w:autoSpaceDN w:val="0"/>
        <w:adjustRightInd w:val="0"/>
        <w:spacing w:after="0" w:line="240" w:lineRule="auto"/>
        <w:rPr>
          <w:rFonts w:cs="ArialMT"/>
          <w:sz w:val="24"/>
          <w:szCs w:val="24"/>
        </w:rPr>
      </w:pPr>
      <w:r w:rsidRPr="00CC6F19">
        <w:rPr>
          <w:rFonts w:cs="ArialMT"/>
          <w:sz w:val="24"/>
          <w:szCs w:val="24"/>
        </w:rPr>
        <w:t>Board members must always think of the organization first</w:t>
      </w:r>
      <w:r w:rsidR="005E4C11" w:rsidRPr="00CC6F19">
        <w:rPr>
          <w:rFonts w:cs="ArialMT"/>
          <w:sz w:val="24"/>
          <w:szCs w:val="24"/>
        </w:rPr>
        <w:t>, the Duty of Loyalty</w:t>
      </w:r>
      <w:r w:rsidRPr="00CC6F19">
        <w:rPr>
          <w:rFonts w:cs="ArialMT"/>
          <w:sz w:val="24"/>
          <w:szCs w:val="24"/>
        </w:rPr>
        <w:t xml:space="preserve"> Misguided and unethical motivations, undeclared conflicts of interest, and the pursuit of personal benefit can endanger the organization’s tax-exempt status.</w:t>
      </w:r>
      <w:r w:rsidR="005E4C11" w:rsidRPr="00CC6F19">
        <w:rPr>
          <w:rFonts w:cs="ArialMT"/>
          <w:sz w:val="24"/>
          <w:szCs w:val="24"/>
        </w:rPr>
        <w:t xml:space="preserve"> Example: A board member recruits an out-of-work relative to run the organization.</w:t>
      </w:r>
    </w:p>
    <w:p w:rsidR="00D018C4" w:rsidRPr="00CC6F19" w:rsidRDefault="00D018C4" w:rsidP="00D018C4">
      <w:pPr>
        <w:autoSpaceDE w:val="0"/>
        <w:autoSpaceDN w:val="0"/>
        <w:adjustRightInd w:val="0"/>
        <w:spacing w:after="0" w:line="240" w:lineRule="auto"/>
        <w:rPr>
          <w:rFonts w:cs="ArialMT"/>
          <w:sz w:val="24"/>
          <w:szCs w:val="24"/>
        </w:rPr>
      </w:pPr>
    </w:p>
    <w:p w:rsidR="00D018C4" w:rsidRPr="00CC6F19" w:rsidRDefault="00D018C4" w:rsidP="00D018C4">
      <w:pPr>
        <w:autoSpaceDE w:val="0"/>
        <w:autoSpaceDN w:val="0"/>
        <w:adjustRightInd w:val="0"/>
        <w:spacing w:after="0" w:line="240" w:lineRule="auto"/>
        <w:rPr>
          <w:rFonts w:cs="ArialMT"/>
          <w:sz w:val="24"/>
          <w:szCs w:val="24"/>
        </w:rPr>
      </w:pPr>
    </w:p>
    <w:p w:rsidR="00D018C4" w:rsidRPr="00CC6F19" w:rsidRDefault="00D018C4" w:rsidP="00D018C4">
      <w:pPr>
        <w:autoSpaceDE w:val="0"/>
        <w:autoSpaceDN w:val="0"/>
        <w:adjustRightInd w:val="0"/>
        <w:spacing w:after="0" w:line="240" w:lineRule="auto"/>
        <w:rPr>
          <w:rFonts w:cs="Arial"/>
          <w:b/>
          <w:bCs/>
          <w:sz w:val="24"/>
          <w:szCs w:val="24"/>
        </w:rPr>
      </w:pPr>
      <w:r w:rsidRPr="00CC6F19">
        <w:rPr>
          <w:rFonts w:cs="Arial"/>
          <w:b/>
          <w:bCs/>
          <w:sz w:val="24"/>
          <w:szCs w:val="24"/>
        </w:rPr>
        <w:t xml:space="preserve">4. Multiple voices </w:t>
      </w:r>
      <w:r w:rsidRPr="00CC6F19">
        <w:rPr>
          <w:sz w:val="24"/>
          <w:szCs w:val="24"/>
        </w:rPr>
        <w:t>(Who said that?)</w:t>
      </w:r>
    </w:p>
    <w:p w:rsidR="00D018C4" w:rsidRPr="00CC6F19" w:rsidRDefault="00D018C4" w:rsidP="00D018C4">
      <w:pPr>
        <w:autoSpaceDE w:val="0"/>
        <w:autoSpaceDN w:val="0"/>
        <w:adjustRightInd w:val="0"/>
        <w:spacing w:after="0" w:line="240" w:lineRule="auto"/>
        <w:rPr>
          <w:rFonts w:cs="ArialMT"/>
          <w:sz w:val="24"/>
          <w:szCs w:val="24"/>
        </w:rPr>
      </w:pPr>
      <w:r w:rsidRPr="00CC6F19">
        <w:rPr>
          <w:rFonts w:cs="ArialMT"/>
          <w:sz w:val="24"/>
          <w:szCs w:val="24"/>
        </w:rPr>
        <w:t xml:space="preserve">Boards speak with one voice, which is formulated through deliberation. Individual board members are bound by the collective decision. Differing opinions need to be resolved in the boardroom, not declared outside </w:t>
      </w:r>
      <w:r w:rsidR="005E4C11" w:rsidRPr="00CC6F19">
        <w:rPr>
          <w:rFonts w:cs="ArialMT"/>
          <w:sz w:val="24"/>
          <w:szCs w:val="24"/>
        </w:rPr>
        <w:t>the organization</w:t>
      </w:r>
      <w:r w:rsidRPr="00CC6F19">
        <w:rPr>
          <w:rFonts w:cs="ArialMT"/>
          <w:sz w:val="24"/>
          <w:szCs w:val="24"/>
        </w:rPr>
        <w:t>.</w:t>
      </w:r>
      <w:r w:rsidR="005E4C11" w:rsidRPr="00CC6F19">
        <w:rPr>
          <w:rFonts w:cs="ArialMT"/>
          <w:sz w:val="24"/>
          <w:szCs w:val="24"/>
        </w:rPr>
        <w:t xml:space="preserve"> Example: A board member is interviewed by the press and advocates for her own solution - one not adopted by the board.</w:t>
      </w:r>
    </w:p>
    <w:p w:rsidR="00D018C4" w:rsidRPr="00CC6F19" w:rsidRDefault="00D018C4">
      <w:pPr>
        <w:rPr>
          <w:rFonts w:cs="ArialMT"/>
          <w:sz w:val="24"/>
          <w:szCs w:val="24"/>
        </w:rPr>
      </w:pPr>
      <w:r w:rsidRPr="00CC6F19">
        <w:rPr>
          <w:rFonts w:cs="ArialMT"/>
          <w:sz w:val="24"/>
          <w:szCs w:val="24"/>
        </w:rPr>
        <w:br w:type="page"/>
      </w:r>
    </w:p>
    <w:p w:rsidR="00D018C4" w:rsidRPr="00CC6F19" w:rsidRDefault="00D018C4" w:rsidP="00D018C4">
      <w:pPr>
        <w:autoSpaceDE w:val="0"/>
        <w:autoSpaceDN w:val="0"/>
        <w:adjustRightInd w:val="0"/>
        <w:spacing w:after="0" w:line="240" w:lineRule="auto"/>
        <w:rPr>
          <w:rFonts w:cs="ArialMT"/>
          <w:sz w:val="24"/>
          <w:szCs w:val="24"/>
        </w:rPr>
      </w:pPr>
      <w:r w:rsidRPr="00CC6F19">
        <w:rPr>
          <w:rFonts w:cs="ArialMT"/>
          <w:noProof/>
          <w:sz w:val="24"/>
          <w:szCs w:val="24"/>
        </w:rPr>
        <w:lastRenderedPageBreak/>
        <w:drawing>
          <wp:anchor distT="0" distB="0" distL="114300" distR="114300" simplePos="0" relativeHeight="251660288" behindDoc="1" locked="0" layoutInCell="1" allowOverlap="1" wp14:anchorId="15D08A9D" wp14:editId="7C6261E7">
            <wp:simplePos x="0" y="0"/>
            <wp:positionH relativeFrom="column">
              <wp:posOffset>3457575</wp:posOffset>
            </wp:positionH>
            <wp:positionV relativeFrom="paragraph">
              <wp:posOffset>-276860</wp:posOffset>
            </wp:positionV>
            <wp:extent cx="3028950" cy="2284095"/>
            <wp:effectExtent l="0" t="0" r="0" b="1905"/>
            <wp:wrapTight wrapText="bothSides">
              <wp:wrapPolygon edited="0">
                <wp:start x="0" y="0"/>
                <wp:lineTo x="0" y="21438"/>
                <wp:lineTo x="21464" y="21438"/>
                <wp:lineTo x="21464" y="0"/>
                <wp:lineTo x="0" y="0"/>
              </wp:wrapPolygon>
            </wp:wrapTight>
            <wp:docPr id="8196" name="Picture 4" descr="http://2.bp.blogspot.com/-YPj4UW-fFOo/UXuQGWK6HxI/AAAAAAAAARg/aiVIsGBYOCA/s1600/Screen+Shot+2013-04-27+at+3.39.01+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6" name="Picture 4" descr="http://2.bp.blogspot.com/-YPj4UW-fFOo/UXuQGWK6HxI/AAAAAAAAARg/aiVIsGBYOCA/s1600/Screen+Shot+2013-04-27+at+3.39.01+AM.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1454" t="11686" r="12053" b="12642"/>
                    <a:stretch/>
                  </pic:blipFill>
                  <pic:spPr bwMode="auto">
                    <a:xfrm>
                      <a:off x="0" y="0"/>
                      <a:ext cx="3028950" cy="22840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018C4" w:rsidRPr="00CC6F19" w:rsidRDefault="00D018C4" w:rsidP="00D018C4">
      <w:pPr>
        <w:autoSpaceDE w:val="0"/>
        <w:autoSpaceDN w:val="0"/>
        <w:adjustRightInd w:val="0"/>
        <w:spacing w:after="0" w:line="240" w:lineRule="auto"/>
        <w:rPr>
          <w:rFonts w:cs="Arial"/>
          <w:b/>
          <w:bCs/>
          <w:sz w:val="24"/>
          <w:szCs w:val="24"/>
        </w:rPr>
      </w:pPr>
      <w:r w:rsidRPr="00CC6F19">
        <w:rPr>
          <w:rFonts w:cs="Arial"/>
          <w:b/>
          <w:bCs/>
          <w:sz w:val="24"/>
          <w:szCs w:val="24"/>
        </w:rPr>
        <w:t xml:space="preserve">5. Micromanaging </w:t>
      </w:r>
      <w:r w:rsidRPr="00CC6F19">
        <w:rPr>
          <w:rFonts w:cs="Arial"/>
          <w:bCs/>
          <w:sz w:val="24"/>
          <w:szCs w:val="24"/>
        </w:rPr>
        <w:t>(I can do that!)</w:t>
      </w:r>
    </w:p>
    <w:p w:rsidR="00D018C4" w:rsidRPr="00CC6F19" w:rsidRDefault="00D018C4" w:rsidP="00D018C4">
      <w:pPr>
        <w:autoSpaceDE w:val="0"/>
        <w:autoSpaceDN w:val="0"/>
        <w:adjustRightInd w:val="0"/>
        <w:spacing w:after="0" w:line="240" w:lineRule="auto"/>
        <w:rPr>
          <w:rFonts w:cs="ArialMT"/>
          <w:sz w:val="24"/>
          <w:szCs w:val="24"/>
        </w:rPr>
      </w:pPr>
      <w:r w:rsidRPr="00CC6F19">
        <w:rPr>
          <w:rFonts w:cs="ArialMT"/>
          <w:sz w:val="24"/>
          <w:szCs w:val="24"/>
        </w:rPr>
        <w:t>One of the key duties of a board is to hire a competent chief executive to run daily operations. Part of this duty assumes that there is a valid job description and a performance evaluation process in place. A board’s role is to oversee that the organization is well run</w:t>
      </w:r>
      <w:r w:rsidR="005E4C11" w:rsidRPr="00CC6F19">
        <w:rPr>
          <w:rFonts w:cs="ArialMT"/>
          <w:sz w:val="24"/>
          <w:szCs w:val="24"/>
        </w:rPr>
        <w:t xml:space="preserve"> by strategically monitoring</w:t>
      </w:r>
      <w:r w:rsidRPr="00CC6F19">
        <w:rPr>
          <w:rFonts w:cs="ArialMT"/>
          <w:sz w:val="24"/>
          <w:szCs w:val="24"/>
        </w:rPr>
        <w:t xml:space="preserve">; not </w:t>
      </w:r>
      <w:r w:rsidR="005E4C11" w:rsidRPr="00CC6F19">
        <w:rPr>
          <w:rFonts w:cs="ArialMT"/>
          <w:sz w:val="24"/>
          <w:szCs w:val="24"/>
        </w:rPr>
        <w:t>engage in operation</w:t>
      </w:r>
      <w:r w:rsidRPr="00CC6F19">
        <w:rPr>
          <w:rFonts w:cs="ArialMT"/>
          <w:sz w:val="24"/>
          <w:szCs w:val="24"/>
        </w:rPr>
        <w:t>.</w:t>
      </w:r>
      <w:r w:rsidR="005E4C11" w:rsidRPr="00CC6F19">
        <w:rPr>
          <w:rFonts w:cs="ArialMT"/>
          <w:sz w:val="24"/>
          <w:szCs w:val="24"/>
        </w:rPr>
        <w:t xml:space="preserve"> Example: The board insists on being involved in choosing a new computer system for the organization.</w:t>
      </w:r>
    </w:p>
    <w:p w:rsidR="00D018C4" w:rsidRPr="00CC6F19" w:rsidRDefault="00D018C4" w:rsidP="00D018C4">
      <w:pPr>
        <w:autoSpaceDE w:val="0"/>
        <w:autoSpaceDN w:val="0"/>
        <w:adjustRightInd w:val="0"/>
        <w:spacing w:after="0" w:line="240" w:lineRule="auto"/>
        <w:rPr>
          <w:rFonts w:cs="Arial"/>
          <w:b/>
          <w:bCs/>
          <w:sz w:val="24"/>
          <w:szCs w:val="24"/>
        </w:rPr>
      </w:pPr>
    </w:p>
    <w:p w:rsidR="00D018C4" w:rsidRPr="00CC6F19" w:rsidRDefault="00D018C4" w:rsidP="00D018C4">
      <w:pPr>
        <w:autoSpaceDE w:val="0"/>
        <w:autoSpaceDN w:val="0"/>
        <w:adjustRightInd w:val="0"/>
        <w:spacing w:after="0" w:line="240" w:lineRule="auto"/>
        <w:rPr>
          <w:rFonts w:cs="Arial"/>
          <w:b/>
          <w:bCs/>
          <w:sz w:val="24"/>
          <w:szCs w:val="24"/>
        </w:rPr>
      </w:pPr>
      <w:r w:rsidRPr="00CC6F19">
        <w:rPr>
          <w:rFonts w:cs="Arial"/>
          <w:b/>
          <w:bCs/>
          <w:sz w:val="24"/>
          <w:szCs w:val="24"/>
        </w:rPr>
        <w:t xml:space="preserve">6. Limitless terms </w:t>
      </w:r>
      <w:r w:rsidRPr="00CC6F19">
        <w:rPr>
          <w:sz w:val="24"/>
          <w:szCs w:val="24"/>
        </w:rPr>
        <w:t>(Black robes, only for the Supreme Court.)</w:t>
      </w:r>
    </w:p>
    <w:p w:rsidR="00D018C4" w:rsidRPr="00CC6F19" w:rsidRDefault="00D018C4" w:rsidP="00D018C4">
      <w:pPr>
        <w:autoSpaceDE w:val="0"/>
        <w:autoSpaceDN w:val="0"/>
        <w:adjustRightInd w:val="0"/>
        <w:spacing w:after="0" w:line="240" w:lineRule="auto"/>
        <w:rPr>
          <w:rFonts w:cs="ArialMT"/>
          <w:sz w:val="24"/>
          <w:szCs w:val="24"/>
        </w:rPr>
      </w:pPr>
      <w:r w:rsidRPr="00CC6F19">
        <w:rPr>
          <w:rFonts w:cs="ArialMT"/>
          <w:sz w:val="24"/>
          <w:szCs w:val="24"/>
        </w:rPr>
        <w:t>Every board must accept and even thrive on change. New perspectives and different ideas keep a board and organization moving forward. Term limits can help boards avoid stagnation.</w:t>
      </w:r>
      <w:r w:rsidR="005E4C11" w:rsidRPr="00CC6F19">
        <w:rPr>
          <w:rFonts w:cs="ArialMT"/>
          <w:sz w:val="24"/>
          <w:szCs w:val="24"/>
        </w:rPr>
        <w:t xml:space="preserve"> Example: Fearful of losing control, the founding board of an organization has been governing for 15 years.</w:t>
      </w:r>
    </w:p>
    <w:p w:rsidR="00D018C4" w:rsidRPr="00CC6F19" w:rsidRDefault="00D018C4" w:rsidP="00D018C4">
      <w:pPr>
        <w:autoSpaceDE w:val="0"/>
        <w:autoSpaceDN w:val="0"/>
        <w:adjustRightInd w:val="0"/>
        <w:spacing w:after="0" w:line="240" w:lineRule="auto"/>
        <w:rPr>
          <w:rFonts w:cs="ArialMT"/>
          <w:sz w:val="24"/>
          <w:szCs w:val="24"/>
        </w:rPr>
      </w:pPr>
    </w:p>
    <w:p w:rsidR="00D018C4" w:rsidRPr="00CC6F19" w:rsidRDefault="00D018C4" w:rsidP="00D018C4">
      <w:pPr>
        <w:autoSpaceDE w:val="0"/>
        <w:autoSpaceDN w:val="0"/>
        <w:adjustRightInd w:val="0"/>
        <w:spacing w:after="0" w:line="240" w:lineRule="auto"/>
        <w:rPr>
          <w:rFonts w:cs="Arial"/>
          <w:b/>
          <w:bCs/>
          <w:sz w:val="24"/>
          <w:szCs w:val="24"/>
        </w:rPr>
      </w:pPr>
      <w:r w:rsidRPr="00CC6F19">
        <w:rPr>
          <w:rFonts w:cs="Arial"/>
          <w:b/>
          <w:bCs/>
          <w:sz w:val="24"/>
          <w:szCs w:val="24"/>
        </w:rPr>
        <w:t xml:space="preserve">7. Lawless governance </w:t>
      </w:r>
      <w:r w:rsidRPr="00CC6F19">
        <w:rPr>
          <w:sz w:val="24"/>
          <w:szCs w:val="24"/>
        </w:rPr>
        <w:t>(Asleep at the wheel.)</w:t>
      </w:r>
    </w:p>
    <w:p w:rsidR="00D018C4" w:rsidRPr="00CC6F19" w:rsidRDefault="00D018C4" w:rsidP="00D018C4">
      <w:pPr>
        <w:autoSpaceDE w:val="0"/>
        <w:autoSpaceDN w:val="0"/>
        <w:adjustRightInd w:val="0"/>
        <w:spacing w:after="0" w:line="240" w:lineRule="auto"/>
        <w:rPr>
          <w:rFonts w:cs="ArialMT"/>
          <w:sz w:val="24"/>
          <w:szCs w:val="24"/>
        </w:rPr>
      </w:pPr>
      <w:r w:rsidRPr="00CC6F19">
        <w:rPr>
          <w:rFonts w:cs="ArialMT"/>
          <w:sz w:val="24"/>
          <w:szCs w:val="24"/>
        </w:rPr>
        <w:t>Nonprofit tax-exempt organizations must heed federal, state, and local regulations, as well as their own bylaws. It is the board’s role to make sure that all laws are respected. The board needs to assure that the organization files its Form 990 correctly and on time; that employment taxes are withheld regularly; and that official documents are saved appropriately. If a board fails to adopt appropriate policies or to effectively oversee financial regulations, it may become liable for wrong doings.</w:t>
      </w:r>
      <w:r w:rsidR="005E4C11" w:rsidRPr="00CC6F19">
        <w:rPr>
          <w:rFonts w:cs="ArialMT"/>
          <w:sz w:val="24"/>
          <w:szCs w:val="24"/>
        </w:rPr>
        <w:t xml:space="preserve"> Example: To get through a temporary financial crunch, the chief executive decides not to pay payroll taxes for several months. The board is unaware that this is happening.</w:t>
      </w:r>
    </w:p>
    <w:p w:rsidR="00D018C4" w:rsidRPr="00CC6F19" w:rsidRDefault="00D018C4" w:rsidP="00D018C4">
      <w:pPr>
        <w:autoSpaceDE w:val="0"/>
        <w:autoSpaceDN w:val="0"/>
        <w:adjustRightInd w:val="0"/>
        <w:spacing w:after="0" w:line="240" w:lineRule="auto"/>
        <w:rPr>
          <w:rFonts w:cs="ArialMT"/>
          <w:sz w:val="24"/>
          <w:szCs w:val="24"/>
        </w:rPr>
      </w:pPr>
    </w:p>
    <w:p w:rsidR="00D018C4" w:rsidRPr="00CC6F19" w:rsidRDefault="00D018C4" w:rsidP="00D018C4">
      <w:pPr>
        <w:autoSpaceDE w:val="0"/>
        <w:autoSpaceDN w:val="0"/>
        <w:adjustRightInd w:val="0"/>
        <w:spacing w:after="0" w:line="240" w:lineRule="auto"/>
        <w:rPr>
          <w:rFonts w:cs="Arial"/>
          <w:b/>
          <w:bCs/>
          <w:sz w:val="24"/>
          <w:szCs w:val="24"/>
        </w:rPr>
      </w:pPr>
      <w:r w:rsidRPr="00CC6F19">
        <w:rPr>
          <w:rFonts w:cs="Arial"/>
          <w:b/>
          <w:bCs/>
          <w:sz w:val="24"/>
          <w:szCs w:val="24"/>
        </w:rPr>
        <w:t xml:space="preserve">8. No self-assessment </w:t>
      </w:r>
      <w:r w:rsidRPr="00CC6F19">
        <w:rPr>
          <w:rFonts w:cs="Arial"/>
          <w:bCs/>
          <w:sz w:val="24"/>
          <w:szCs w:val="24"/>
        </w:rPr>
        <w:t>(</w:t>
      </w:r>
      <w:r w:rsidRPr="00CC6F19">
        <w:rPr>
          <w:sz w:val="24"/>
          <w:szCs w:val="24"/>
        </w:rPr>
        <w:t>Know thyself!)</w:t>
      </w:r>
    </w:p>
    <w:p w:rsidR="00D018C4" w:rsidRPr="00CC6F19" w:rsidRDefault="00D018C4" w:rsidP="00D018C4">
      <w:pPr>
        <w:autoSpaceDE w:val="0"/>
        <w:autoSpaceDN w:val="0"/>
        <w:adjustRightInd w:val="0"/>
        <w:spacing w:after="0" w:line="240" w:lineRule="auto"/>
        <w:rPr>
          <w:rFonts w:cs="ArialMT"/>
          <w:sz w:val="24"/>
          <w:szCs w:val="24"/>
        </w:rPr>
      </w:pPr>
      <w:r w:rsidRPr="00CC6F19">
        <w:rPr>
          <w:rFonts w:cs="ArialMT"/>
          <w:sz w:val="24"/>
          <w:szCs w:val="24"/>
        </w:rPr>
        <w:t>By studying its own behavior, sharing impressions, and analyzing the results, a board is able to lay the groundwork for self-improvement. Failing to assess its own performance, a board is unable to define its strengths and weaknesses. As a by-product, it can also enhance its team spirit, its accountability, and its credibility.</w:t>
      </w:r>
      <w:r w:rsidR="005E4C11" w:rsidRPr="00CC6F19">
        <w:rPr>
          <w:rFonts w:cs="ArialMT"/>
          <w:sz w:val="24"/>
          <w:szCs w:val="24"/>
        </w:rPr>
        <w:t xml:space="preserve"> Example: Board members’ morale is low, attendance is sporadic, and the chair has no clue about how to energize the board.</w:t>
      </w:r>
    </w:p>
    <w:p w:rsidR="00D018C4" w:rsidRPr="00CC6F19" w:rsidRDefault="00D018C4" w:rsidP="00D018C4">
      <w:pPr>
        <w:autoSpaceDE w:val="0"/>
        <w:autoSpaceDN w:val="0"/>
        <w:adjustRightInd w:val="0"/>
        <w:spacing w:after="0" w:line="240" w:lineRule="auto"/>
        <w:rPr>
          <w:rFonts w:cs="ArialMT"/>
          <w:sz w:val="24"/>
          <w:szCs w:val="24"/>
        </w:rPr>
      </w:pPr>
    </w:p>
    <w:p w:rsidR="00D018C4" w:rsidRPr="00CC6F19" w:rsidRDefault="00D018C4" w:rsidP="00D018C4">
      <w:pPr>
        <w:autoSpaceDE w:val="0"/>
        <w:autoSpaceDN w:val="0"/>
        <w:adjustRightInd w:val="0"/>
        <w:spacing w:after="0" w:line="240" w:lineRule="auto"/>
        <w:rPr>
          <w:rFonts w:cs="Arial"/>
          <w:bCs/>
          <w:sz w:val="24"/>
          <w:szCs w:val="24"/>
        </w:rPr>
      </w:pPr>
      <w:r w:rsidRPr="00CC6F19">
        <w:rPr>
          <w:rFonts w:cs="Arial"/>
          <w:b/>
          <w:bCs/>
          <w:sz w:val="24"/>
          <w:szCs w:val="24"/>
        </w:rPr>
        <w:t xml:space="preserve">9. Lack of self-improvement </w:t>
      </w:r>
      <w:r w:rsidRPr="00CC6F19">
        <w:rPr>
          <w:rFonts w:cs="Arial"/>
          <w:bCs/>
          <w:sz w:val="24"/>
          <w:szCs w:val="24"/>
        </w:rPr>
        <w:t>(</w:t>
      </w:r>
      <w:r w:rsidRPr="00CC6F19">
        <w:rPr>
          <w:sz w:val="24"/>
          <w:szCs w:val="24"/>
        </w:rPr>
        <w:t>Ignorance is no excuse.)</w:t>
      </w:r>
    </w:p>
    <w:p w:rsidR="00D018C4" w:rsidRPr="00CC6F19" w:rsidRDefault="00D018C4" w:rsidP="00D018C4">
      <w:pPr>
        <w:autoSpaceDE w:val="0"/>
        <w:autoSpaceDN w:val="0"/>
        <w:adjustRightInd w:val="0"/>
        <w:spacing w:after="0" w:line="240" w:lineRule="auto"/>
        <w:rPr>
          <w:rFonts w:cs="ArialMT"/>
          <w:sz w:val="24"/>
          <w:szCs w:val="24"/>
        </w:rPr>
      </w:pPr>
      <w:r w:rsidRPr="00CC6F19">
        <w:rPr>
          <w:rFonts w:cs="ArialMT"/>
          <w:sz w:val="24"/>
          <w:szCs w:val="24"/>
        </w:rPr>
        <w:t>Self-improvement is one of the innate consequences of self-assessment. Regular self-assessment is a futile process if it does not address apparent weaknesses in a board and result in structured self-betterment. Boards that do not provide learning possibilities for their members miss opportunities and inefficiently utilize their members’ abilities.</w:t>
      </w:r>
      <w:r w:rsidR="005E4C11" w:rsidRPr="00CC6F19">
        <w:rPr>
          <w:rFonts w:cs="ArialMT"/>
          <w:sz w:val="24"/>
          <w:szCs w:val="24"/>
        </w:rPr>
        <w:t xml:space="preserve"> Example: Board members have never seen individual board member job descriptions and are not familiar with their legal obligations.</w:t>
      </w:r>
    </w:p>
    <w:p w:rsidR="00D018C4" w:rsidRPr="00CC6F19" w:rsidRDefault="00D018C4" w:rsidP="00D018C4">
      <w:pPr>
        <w:autoSpaceDE w:val="0"/>
        <w:autoSpaceDN w:val="0"/>
        <w:adjustRightInd w:val="0"/>
        <w:spacing w:after="0" w:line="240" w:lineRule="auto"/>
        <w:rPr>
          <w:rFonts w:cs="Arial"/>
          <w:b/>
          <w:bCs/>
          <w:sz w:val="24"/>
          <w:szCs w:val="24"/>
        </w:rPr>
      </w:pPr>
    </w:p>
    <w:p w:rsidR="00D018C4" w:rsidRPr="00CC6F19" w:rsidRDefault="00D018C4" w:rsidP="00D018C4">
      <w:pPr>
        <w:autoSpaceDE w:val="0"/>
        <w:autoSpaceDN w:val="0"/>
        <w:adjustRightInd w:val="0"/>
        <w:spacing w:after="0" w:line="240" w:lineRule="auto"/>
        <w:rPr>
          <w:rFonts w:cs="Arial"/>
          <w:bCs/>
          <w:sz w:val="24"/>
          <w:szCs w:val="24"/>
        </w:rPr>
      </w:pPr>
      <w:r w:rsidRPr="00CC6F19">
        <w:rPr>
          <w:rFonts w:cs="Arial"/>
          <w:b/>
          <w:bCs/>
          <w:sz w:val="24"/>
          <w:szCs w:val="24"/>
        </w:rPr>
        <w:t xml:space="preserve">10. Knotted purse strings </w:t>
      </w:r>
      <w:r w:rsidRPr="00CC6F19">
        <w:rPr>
          <w:rFonts w:cs="Arial"/>
          <w:bCs/>
          <w:sz w:val="24"/>
          <w:szCs w:val="24"/>
        </w:rPr>
        <w:t>(</w:t>
      </w:r>
      <w:r w:rsidRPr="00CC6F19">
        <w:rPr>
          <w:sz w:val="24"/>
          <w:szCs w:val="24"/>
        </w:rPr>
        <w:t>Blinding George Washington.)</w:t>
      </w:r>
    </w:p>
    <w:p w:rsidR="00D018C4" w:rsidRPr="00CC6F19" w:rsidRDefault="00D018C4" w:rsidP="00D018C4">
      <w:pPr>
        <w:autoSpaceDE w:val="0"/>
        <w:autoSpaceDN w:val="0"/>
        <w:adjustRightInd w:val="0"/>
        <w:spacing w:after="0" w:line="240" w:lineRule="auto"/>
        <w:rPr>
          <w:sz w:val="24"/>
          <w:szCs w:val="24"/>
        </w:rPr>
      </w:pPr>
      <w:r w:rsidRPr="00CC6F19">
        <w:rPr>
          <w:rFonts w:cs="ArialMT"/>
          <w:sz w:val="24"/>
          <w:szCs w:val="24"/>
        </w:rPr>
        <w:t>Asking for and giving money are natural aspects of being a board member in most 501(c</w:t>
      </w:r>
      <w:proofErr w:type="gramStart"/>
      <w:r w:rsidRPr="00CC6F19">
        <w:rPr>
          <w:rFonts w:cs="ArialMT"/>
          <w:sz w:val="24"/>
          <w:szCs w:val="24"/>
        </w:rPr>
        <w:t>)(</w:t>
      </w:r>
      <w:proofErr w:type="gramEnd"/>
      <w:r w:rsidRPr="00CC6F19">
        <w:rPr>
          <w:rFonts w:cs="ArialMT"/>
          <w:sz w:val="24"/>
          <w:szCs w:val="24"/>
        </w:rPr>
        <w:t xml:space="preserve">3) charities. Boards that are responsible for </w:t>
      </w:r>
      <w:proofErr w:type="gramStart"/>
      <w:r w:rsidRPr="00CC6F19">
        <w:rPr>
          <w:rFonts w:cs="ArialMT"/>
          <w:sz w:val="24"/>
          <w:szCs w:val="24"/>
        </w:rPr>
        <w:t>fundraising,</w:t>
      </w:r>
      <w:proofErr w:type="gramEnd"/>
      <w:r w:rsidRPr="00CC6F19">
        <w:rPr>
          <w:rFonts w:cs="ArialMT"/>
          <w:sz w:val="24"/>
          <w:szCs w:val="24"/>
        </w:rPr>
        <w:t xml:space="preserve"> yet don’t have a 100</w:t>
      </w:r>
      <w:r w:rsidR="005E4C11" w:rsidRPr="00CC6F19">
        <w:rPr>
          <w:rFonts w:cs="ArialMT"/>
          <w:sz w:val="24"/>
          <w:szCs w:val="24"/>
        </w:rPr>
        <w:t>%</w:t>
      </w:r>
      <w:r w:rsidRPr="00CC6F19">
        <w:rPr>
          <w:rFonts w:cs="ArialMT"/>
          <w:sz w:val="24"/>
          <w:szCs w:val="24"/>
        </w:rPr>
        <w:t xml:space="preserve"> </w:t>
      </w:r>
      <w:r w:rsidR="005E4C11" w:rsidRPr="00CC6F19">
        <w:rPr>
          <w:rFonts w:cs="ArialMT"/>
          <w:sz w:val="24"/>
          <w:szCs w:val="24"/>
        </w:rPr>
        <w:t>board</w:t>
      </w:r>
      <w:r w:rsidRPr="00CC6F19">
        <w:rPr>
          <w:rFonts w:cs="ArialMT"/>
          <w:sz w:val="24"/>
          <w:szCs w:val="24"/>
        </w:rPr>
        <w:t xml:space="preserve"> personal contribution rate, have failed the ultimate commitment test. If the board is not supporting the organization, how can it convince others to do so?</w:t>
      </w:r>
      <w:r w:rsidRPr="00CC6F19">
        <w:rPr>
          <w:sz w:val="24"/>
          <w:szCs w:val="24"/>
        </w:rPr>
        <w:t xml:space="preserve"> </w:t>
      </w:r>
      <w:r w:rsidR="005E4C11" w:rsidRPr="00CC6F19">
        <w:rPr>
          <w:sz w:val="24"/>
          <w:szCs w:val="24"/>
        </w:rPr>
        <w:t xml:space="preserve"> </w:t>
      </w:r>
      <w:r w:rsidR="005E4C11" w:rsidRPr="00CC6F19">
        <w:rPr>
          <w:rFonts w:cs="ArialMT"/>
          <w:sz w:val="24"/>
          <w:szCs w:val="24"/>
        </w:rPr>
        <w:t>Example: A board is not able to reach consensus on its personal contribution policy. It becomes divided due to feelings of unfairness and lack of commitment.</w:t>
      </w:r>
    </w:p>
    <w:sectPr w:rsidR="00D018C4" w:rsidRPr="00CC6F19" w:rsidSect="00CC6F19">
      <w:pgSz w:w="12240" w:h="15840"/>
      <w:pgMar w:top="1080" w:right="1080" w:bottom="36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4128" w:rsidRDefault="00F64128" w:rsidP="007E7BCB">
      <w:pPr>
        <w:spacing w:after="0" w:line="240" w:lineRule="auto"/>
      </w:pPr>
      <w:r>
        <w:separator/>
      </w:r>
    </w:p>
  </w:endnote>
  <w:endnote w:type="continuationSeparator" w:id="0">
    <w:p w:rsidR="00F64128" w:rsidRDefault="00F64128" w:rsidP="007E7B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4128" w:rsidRDefault="00F64128" w:rsidP="007E7BCB">
      <w:pPr>
        <w:spacing w:after="0" w:line="240" w:lineRule="auto"/>
      </w:pPr>
      <w:r>
        <w:separator/>
      </w:r>
    </w:p>
  </w:footnote>
  <w:footnote w:type="continuationSeparator" w:id="0">
    <w:p w:rsidR="00F64128" w:rsidRDefault="00F64128" w:rsidP="007E7BCB">
      <w:pPr>
        <w:spacing w:after="0" w:line="240" w:lineRule="auto"/>
      </w:pPr>
      <w:r>
        <w:continuationSeparator/>
      </w:r>
    </w:p>
  </w:footnote>
  <w:footnote w:id="1">
    <w:p w:rsidR="007E7BCB" w:rsidRDefault="007E7BCB" w:rsidP="007E7BCB">
      <w:pPr>
        <w:autoSpaceDE w:val="0"/>
        <w:autoSpaceDN w:val="0"/>
        <w:adjustRightInd w:val="0"/>
        <w:spacing w:after="0" w:line="240" w:lineRule="auto"/>
        <w:rPr>
          <w:rFonts w:ascii="Arial" w:hAnsi="Arial" w:cs="Arial"/>
          <w:i/>
          <w:iCs/>
        </w:rPr>
      </w:pPr>
      <w:r>
        <w:rPr>
          <w:rStyle w:val="FootnoteReference"/>
        </w:rPr>
        <w:footnoteRef/>
      </w:r>
      <w:r>
        <w:t xml:space="preserve"> </w:t>
      </w:r>
      <w:r>
        <w:rPr>
          <w:rFonts w:ascii="Arial" w:hAnsi="Arial" w:cs="Arial"/>
          <w:i/>
          <w:iCs/>
        </w:rPr>
        <w:t xml:space="preserve">Adapted from the </w:t>
      </w:r>
      <w:proofErr w:type="spellStart"/>
      <w:r>
        <w:rPr>
          <w:rFonts w:ascii="Arial" w:hAnsi="Arial" w:cs="Arial"/>
          <w:i/>
          <w:iCs/>
        </w:rPr>
        <w:t>Boardsource</w:t>
      </w:r>
      <w:proofErr w:type="spellEnd"/>
      <w:r>
        <w:rPr>
          <w:rFonts w:ascii="Arial" w:hAnsi="Arial" w:cs="Arial"/>
          <w:i/>
          <w:iCs/>
        </w:rPr>
        <w:t xml:space="preserve"> Knowledge Center</w:t>
      </w:r>
    </w:p>
    <w:p w:rsidR="007E7BCB" w:rsidRDefault="007E7BCB">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E97BF4"/>
    <w:multiLevelType w:val="hybridMultilevel"/>
    <w:tmpl w:val="21729E9A"/>
    <w:lvl w:ilvl="0" w:tplc="F006CD40">
      <w:start w:val="1"/>
      <w:numFmt w:val="decimal"/>
      <w:lvlText w:val="%1."/>
      <w:lvlJc w:val="left"/>
      <w:pPr>
        <w:tabs>
          <w:tab w:val="num" w:pos="360"/>
        </w:tabs>
        <w:ind w:left="360" w:hanging="360"/>
      </w:pPr>
    </w:lvl>
    <w:lvl w:ilvl="1" w:tplc="B296C9A4" w:tentative="1">
      <w:start w:val="1"/>
      <w:numFmt w:val="decimal"/>
      <w:lvlText w:val="%2."/>
      <w:lvlJc w:val="left"/>
      <w:pPr>
        <w:tabs>
          <w:tab w:val="num" w:pos="1080"/>
        </w:tabs>
        <w:ind w:left="1080" w:hanging="360"/>
      </w:pPr>
    </w:lvl>
    <w:lvl w:ilvl="2" w:tplc="4F3AC442" w:tentative="1">
      <w:start w:val="1"/>
      <w:numFmt w:val="decimal"/>
      <w:lvlText w:val="%3."/>
      <w:lvlJc w:val="left"/>
      <w:pPr>
        <w:tabs>
          <w:tab w:val="num" w:pos="1800"/>
        </w:tabs>
        <w:ind w:left="1800" w:hanging="360"/>
      </w:pPr>
    </w:lvl>
    <w:lvl w:ilvl="3" w:tplc="B8A4FA32" w:tentative="1">
      <w:start w:val="1"/>
      <w:numFmt w:val="decimal"/>
      <w:lvlText w:val="%4."/>
      <w:lvlJc w:val="left"/>
      <w:pPr>
        <w:tabs>
          <w:tab w:val="num" w:pos="2520"/>
        </w:tabs>
        <w:ind w:left="2520" w:hanging="360"/>
      </w:pPr>
    </w:lvl>
    <w:lvl w:ilvl="4" w:tplc="D6783540" w:tentative="1">
      <w:start w:val="1"/>
      <w:numFmt w:val="decimal"/>
      <w:lvlText w:val="%5."/>
      <w:lvlJc w:val="left"/>
      <w:pPr>
        <w:tabs>
          <w:tab w:val="num" w:pos="3240"/>
        </w:tabs>
        <w:ind w:left="3240" w:hanging="360"/>
      </w:pPr>
    </w:lvl>
    <w:lvl w:ilvl="5" w:tplc="4664F238" w:tentative="1">
      <w:start w:val="1"/>
      <w:numFmt w:val="decimal"/>
      <w:lvlText w:val="%6."/>
      <w:lvlJc w:val="left"/>
      <w:pPr>
        <w:tabs>
          <w:tab w:val="num" w:pos="3960"/>
        </w:tabs>
        <w:ind w:left="3960" w:hanging="360"/>
      </w:pPr>
    </w:lvl>
    <w:lvl w:ilvl="6" w:tplc="CDFA6A1A" w:tentative="1">
      <w:start w:val="1"/>
      <w:numFmt w:val="decimal"/>
      <w:lvlText w:val="%7."/>
      <w:lvlJc w:val="left"/>
      <w:pPr>
        <w:tabs>
          <w:tab w:val="num" w:pos="4680"/>
        </w:tabs>
        <w:ind w:left="4680" w:hanging="360"/>
      </w:pPr>
    </w:lvl>
    <w:lvl w:ilvl="7" w:tplc="C4C8AD18" w:tentative="1">
      <w:start w:val="1"/>
      <w:numFmt w:val="decimal"/>
      <w:lvlText w:val="%8."/>
      <w:lvlJc w:val="left"/>
      <w:pPr>
        <w:tabs>
          <w:tab w:val="num" w:pos="5400"/>
        </w:tabs>
        <w:ind w:left="5400" w:hanging="360"/>
      </w:pPr>
    </w:lvl>
    <w:lvl w:ilvl="8" w:tplc="23E0B638" w:tentative="1">
      <w:start w:val="1"/>
      <w:numFmt w:val="decimal"/>
      <w:lvlText w:val="%9."/>
      <w:lvlJc w:val="left"/>
      <w:pPr>
        <w:tabs>
          <w:tab w:val="num" w:pos="6120"/>
        </w:tabs>
        <w:ind w:left="6120" w:hanging="360"/>
      </w:pPr>
    </w:lvl>
  </w:abstractNum>
  <w:abstractNum w:abstractNumId="1">
    <w:nsid w:val="7196543F"/>
    <w:multiLevelType w:val="hybridMultilevel"/>
    <w:tmpl w:val="70C6F9DC"/>
    <w:lvl w:ilvl="0" w:tplc="309C4610">
      <w:start w:val="1"/>
      <w:numFmt w:val="decimal"/>
      <w:lvlText w:val="%1."/>
      <w:lvlJc w:val="left"/>
      <w:pPr>
        <w:tabs>
          <w:tab w:val="num" w:pos="720"/>
        </w:tabs>
        <w:ind w:left="720" w:hanging="360"/>
      </w:pPr>
    </w:lvl>
    <w:lvl w:ilvl="1" w:tplc="54CEF064" w:tentative="1">
      <w:start w:val="1"/>
      <w:numFmt w:val="decimal"/>
      <w:lvlText w:val="%2."/>
      <w:lvlJc w:val="left"/>
      <w:pPr>
        <w:tabs>
          <w:tab w:val="num" w:pos="1440"/>
        </w:tabs>
        <w:ind w:left="1440" w:hanging="360"/>
      </w:pPr>
    </w:lvl>
    <w:lvl w:ilvl="2" w:tplc="CC3E1E58" w:tentative="1">
      <w:start w:val="1"/>
      <w:numFmt w:val="decimal"/>
      <w:lvlText w:val="%3."/>
      <w:lvlJc w:val="left"/>
      <w:pPr>
        <w:tabs>
          <w:tab w:val="num" w:pos="2160"/>
        </w:tabs>
        <w:ind w:left="2160" w:hanging="360"/>
      </w:pPr>
    </w:lvl>
    <w:lvl w:ilvl="3" w:tplc="80F0F9CA" w:tentative="1">
      <w:start w:val="1"/>
      <w:numFmt w:val="decimal"/>
      <w:lvlText w:val="%4."/>
      <w:lvlJc w:val="left"/>
      <w:pPr>
        <w:tabs>
          <w:tab w:val="num" w:pos="2880"/>
        </w:tabs>
        <w:ind w:left="2880" w:hanging="360"/>
      </w:pPr>
    </w:lvl>
    <w:lvl w:ilvl="4" w:tplc="7368B70E" w:tentative="1">
      <w:start w:val="1"/>
      <w:numFmt w:val="decimal"/>
      <w:lvlText w:val="%5."/>
      <w:lvlJc w:val="left"/>
      <w:pPr>
        <w:tabs>
          <w:tab w:val="num" w:pos="3600"/>
        </w:tabs>
        <w:ind w:left="3600" w:hanging="360"/>
      </w:pPr>
    </w:lvl>
    <w:lvl w:ilvl="5" w:tplc="12A8F6AA" w:tentative="1">
      <w:start w:val="1"/>
      <w:numFmt w:val="decimal"/>
      <w:lvlText w:val="%6."/>
      <w:lvlJc w:val="left"/>
      <w:pPr>
        <w:tabs>
          <w:tab w:val="num" w:pos="4320"/>
        </w:tabs>
        <w:ind w:left="4320" w:hanging="360"/>
      </w:pPr>
    </w:lvl>
    <w:lvl w:ilvl="6" w:tplc="6936C69A" w:tentative="1">
      <w:start w:val="1"/>
      <w:numFmt w:val="decimal"/>
      <w:lvlText w:val="%7."/>
      <w:lvlJc w:val="left"/>
      <w:pPr>
        <w:tabs>
          <w:tab w:val="num" w:pos="5040"/>
        </w:tabs>
        <w:ind w:left="5040" w:hanging="360"/>
      </w:pPr>
    </w:lvl>
    <w:lvl w:ilvl="7" w:tplc="AE00B4CC" w:tentative="1">
      <w:start w:val="1"/>
      <w:numFmt w:val="decimal"/>
      <w:lvlText w:val="%8."/>
      <w:lvlJc w:val="left"/>
      <w:pPr>
        <w:tabs>
          <w:tab w:val="num" w:pos="5760"/>
        </w:tabs>
        <w:ind w:left="5760" w:hanging="360"/>
      </w:pPr>
    </w:lvl>
    <w:lvl w:ilvl="8" w:tplc="A13631DA"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rQwMjc3tjS2MDA0NTRU0lEKTi0uzszPAykwqQUAvtApWywAAAA="/>
  </w:docVars>
  <w:rsids>
    <w:rsidRoot w:val="00D018C4"/>
    <w:rsid w:val="00124552"/>
    <w:rsid w:val="001A4B84"/>
    <w:rsid w:val="005E4C11"/>
    <w:rsid w:val="007E7BCB"/>
    <w:rsid w:val="00CC6F19"/>
    <w:rsid w:val="00D018C4"/>
    <w:rsid w:val="00F64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18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8C4"/>
    <w:rPr>
      <w:rFonts w:ascii="Tahoma" w:hAnsi="Tahoma" w:cs="Tahoma"/>
      <w:sz w:val="16"/>
      <w:szCs w:val="16"/>
    </w:rPr>
  </w:style>
  <w:style w:type="paragraph" w:styleId="ListParagraph">
    <w:name w:val="List Paragraph"/>
    <w:basedOn w:val="Normal"/>
    <w:uiPriority w:val="34"/>
    <w:qFormat/>
    <w:rsid w:val="00D018C4"/>
    <w:pPr>
      <w:spacing w:after="0" w:line="240" w:lineRule="auto"/>
      <w:ind w:left="720"/>
      <w:contextualSpacing/>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7E7BC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E7BCB"/>
    <w:rPr>
      <w:sz w:val="20"/>
      <w:szCs w:val="20"/>
    </w:rPr>
  </w:style>
  <w:style w:type="character" w:styleId="FootnoteReference">
    <w:name w:val="footnote reference"/>
    <w:basedOn w:val="DefaultParagraphFont"/>
    <w:uiPriority w:val="99"/>
    <w:semiHidden/>
    <w:unhideWhenUsed/>
    <w:rsid w:val="007E7BC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18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8C4"/>
    <w:rPr>
      <w:rFonts w:ascii="Tahoma" w:hAnsi="Tahoma" w:cs="Tahoma"/>
      <w:sz w:val="16"/>
      <w:szCs w:val="16"/>
    </w:rPr>
  </w:style>
  <w:style w:type="paragraph" w:styleId="ListParagraph">
    <w:name w:val="List Paragraph"/>
    <w:basedOn w:val="Normal"/>
    <w:uiPriority w:val="34"/>
    <w:qFormat/>
    <w:rsid w:val="00D018C4"/>
    <w:pPr>
      <w:spacing w:after="0" w:line="240" w:lineRule="auto"/>
      <w:ind w:left="720"/>
      <w:contextualSpacing/>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7E7BC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E7BCB"/>
    <w:rPr>
      <w:sz w:val="20"/>
      <w:szCs w:val="20"/>
    </w:rPr>
  </w:style>
  <w:style w:type="character" w:styleId="FootnoteReference">
    <w:name w:val="footnote reference"/>
    <w:basedOn w:val="DefaultParagraphFont"/>
    <w:uiPriority w:val="99"/>
    <w:semiHidden/>
    <w:unhideWhenUsed/>
    <w:rsid w:val="007E7B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81995">
      <w:bodyDiv w:val="1"/>
      <w:marLeft w:val="0"/>
      <w:marRight w:val="0"/>
      <w:marTop w:val="0"/>
      <w:marBottom w:val="0"/>
      <w:divBdr>
        <w:top w:val="none" w:sz="0" w:space="0" w:color="auto"/>
        <w:left w:val="none" w:sz="0" w:space="0" w:color="auto"/>
        <w:bottom w:val="none" w:sz="0" w:space="0" w:color="auto"/>
        <w:right w:val="none" w:sz="0" w:space="0" w:color="auto"/>
      </w:divBdr>
      <w:divsChild>
        <w:div w:id="78674188">
          <w:marLeft w:val="1166"/>
          <w:marRight w:val="0"/>
          <w:marTop w:val="0"/>
          <w:marBottom w:val="0"/>
          <w:divBdr>
            <w:top w:val="none" w:sz="0" w:space="0" w:color="auto"/>
            <w:left w:val="none" w:sz="0" w:space="0" w:color="auto"/>
            <w:bottom w:val="none" w:sz="0" w:space="0" w:color="auto"/>
            <w:right w:val="none" w:sz="0" w:space="0" w:color="auto"/>
          </w:divBdr>
        </w:div>
        <w:div w:id="1646084147">
          <w:marLeft w:val="1166"/>
          <w:marRight w:val="0"/>
          <w:marTop w:val="0"/>
          <w:marBottom w:val="0"/>
          <w:divBdr>
            <w:top w:val="none" w:sz="0" w:space="0" w:color="auto"/>
            <w:left w:val="none" w:sz="0" w:space="0" w:color="auto"/>
            <w:bottom w:val="none" w:sz="0" w:space="0" w:color="auto"/>
            <w:right w:val="none" w:sz="0" w:space="0" w:color="auto"/>
          </w:divBdr>
        </w:div>
        <w:div w:id="661665357">
          <w:marLeft w:val="1166"/>
          <w:marRight w:val="0"/>
          <w:marTop w:val="0"/>
          <w:marBottom w:val="0"/>
          <w:divBdr>
            <w:top w:val="none" w:sz="0" w:space="0" w:color="auto"/>
            <w:left w:val="none" w:sz="0" w:space="0" w:color="auto"/>
            <w:bottom w:val="none" w:sz="0" w:space="0" w:color="auto"/>
            <w:right w:val="none" w:sz="0" w:space="0" w:color="auto"/>
          </w:divBdr>
        </w:div>
        <w:div w:id="1866476628">
          <w:marLeft w:val="1166"/>
          <w:marRight w:val="0"/>
          <w:marTop w:val="0"/>
          <w:marBottom w:val="0"/>
          <w:divBdr>
            <w:top w:val="none" w:sz="0" w:space="0" w:color="auto"/>
            <w:left w:val="none" w:sz="0" w:space="0" w:color="auto"/>
            <w:bottom w:val="none" w:sz="0" w:space="0" w:color="auto"/>
            <w:right w:val="none" w:sz="0" w:space="0" w:color="auto"/>
          </w:divBdr>
        </w:div>
        <w:div w:id="1572809940">
          <w:marLeft w:val="1166"/>
          <w:marRight w:val="0"/>
          <w:marTop w:val="0"/>
          <w:marBottom w:val="0"/>
          <w:divBdr>
            <w:top w:val="none" w:sz="0" w:space="0" w:color="auto"/>
            <w:left w:val="none" w:sz="0" w:space="0" w:color="auto"/>
            <w:bottom w:val="none" w:sz="0" w:space="0" w:color="auto"/>
            <w:right w:val="none" w:sz="0" w:space="0" w:color="auto"/>
          </w:divBdr>
        </w:div>
        <w:div w:id="619067923">
          <w:marLeft w:val="1166"/>
          <w:marRight w:val="0"/>
          <w:marTop w:val="0"/>
          <w:marBottom w:val="0"/>
          <w:divBdr>
            <w:top w:val="none" w:sz="0" w:space="0" w:color="auto"/>
            <w:left w:val="none" w:sz="0" w:space="0" w:color="auto"/>
            <w:bottom w:val="none" w:sz="0" w:space="0" w:color="auto"/>
            <w:right w:val="none" w:sz="0" w:space="0" w:color="auto"/>
          </w:divBdr>
        </w:div>
        <w:div w:id="650451650">
          <w:marLeft w:val="1166"/>
          <w:marRight w:val="0"/>
          <w:marTop w:val="0"/>
          <w:marBottom w:val="0"/>
          <w:divBdr>
            <w:top w:val="none" w:sz="0" w:space="0" w:color="auto"/>
            <w:left w:val="none" w:sz="0" w:space="0" w:color="auto"/>
            <w:bottom w:val="none" w:sz="0" w:space="0" w:color="auto"/>
            <w:right w:val="none" w:sz="0" w:space="0" w:color="auto"/>
          </w:divBdr>
        </w:div>
      </w:divsChild>
    </w:div>
    <w:div w:id="1271425437">
      <w:bodyDiv w:val="1"/>
      <w:marLeft w:val="0"/>
      <w:marRight w:val="0"/>
      <w:marTop w:val="0"/>
      <w:marBottom w:val="0"/>
      <w:divBdr>
        <w:top w:val="none" w:sz="0" w:space="0" w:color="auto"/>
        <w:left w:val="none" w:sz="0" w:space="0" w:color="auto"/>
        <w:bottom w:val="none" w:sz="0" w:space="0" w:color="auto"/>
        <w:right w:val="none" w:sz="0" w:space="0" w:color="auto"/>
      </w:divBdr>
    </w:div>
    <w:div w:id="1895044380">
      <w:bodyDiv w:val="1"/>
      <w:marLeft w:val="0"/>
      <w:marRight w:val="0"/>
      <w:marTop w:val="0"/>
      <w:marBottom w:val="0"/>
      <w:divBdr>
        <w:top w:val="none" w:sz="0" w:space="0" w:color="auto"/>
        <w:left w:val="none" w:sz="0" w:space="0" w:color="auto"/>
        <w:bottom w:val="none" w:sz="0" w:space="0" w:color="auto"/>
        <w:right w:val="none" w:sz="0" w:space="0" w:color="auto"/>
      </w:divBdr>
      <w:divsChild>
        <w:div w:id="730076501">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A4BEBA-BFF2-4106-896E-AD2670FB3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744</Words>
  <Characters>4243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Chapter</dc:creator>
  <cp:lastModifiedBy>New Chapter</cp:lastModifiedBy>
  <cp:revision>4</cp:revision>
  <dcterms:created xsi:type="dcterms:W3CDTF">2017-01-25T14:22:00Z</dcterms:created>
  <dcterms:modified xsi:type="dcterms:W3CDTF">2017-03-30T15:16:00Z</dcterms:modified>
</cp:coreProperties>
</file>