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0C" w:rsidRDefault="00C67F0C" w:rsidP="00C67F0C">
      <w:pPr>
        <w:pStyle w:val="Pa0"/>
        <w:spacing w:line="240" w:lineRule="auto"/>
        <w:rPr>
          <w:rFonts w:asciiTheme="minorHAnsi" w:hAnsiTheme="minorHAnsi" w:cs="Berkeley"/>
          <w:b/>
          <w:bCs/>
          <w:color w:val="000000"/>
          <w:sz w:val="32"/>
        </w:rPr>
      </w:pPr>
      <w:r>
        <w:rPr>
          <w:rFonts w:asciiTheme="minorHAnsi" w:hAnsiTheme="minorHAnsi" w:cs="Berkeley"/>
          <w:b/>
          <w:bCs/>
          <w:noProof/>
          <w:color w:val="000000"/>
          <w:sz w:val="32"/>
        </w:rPr>
        <w:drawing>
          <wp:inline distT="0" distB="0" distL="0" distR="0">
            <wp:extent cx="2438400" cy="8138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8400" cy="813816"/>
                    </a:xfrm>
                    <a:prstGeom prst="rect">
                      <a:avLst/>
                    </a:prstGeom>
                  </pic:spPr>
                </pic:pic>
              </a:graphicData>
            </a:graphic>
          </wp:inline>
        </w:drawing>
      </w:r>
    </w:p>
    <w:p w:rsidR="00C67F0C" w:rsidRPr="00C67F0C" w:rsidRDefault="00C67F0C" w:rsidP="00C67F0C">
      <w:pPr>
        <w:pStyle w:val="Pa0"/>
        <w:spacing w:line="240" w:lineRule="auto"/>
        <w:jc w:val="center"/>
        <w:rPr>
          <w:rFonts w:asciiTheme="minorHAnsi" w:hAnsiTheme="minorHAnsi" w:cs="Berkeley"/>
          <w:b/>
          <w:bCs/>
          <w:color w:val="000000"/>
          <w:sz w:val="32"/>
        </w:rPr>
      </w:pPr>
      <w:r w:rsidRPr="00C67F0C">
        <w:rPr>
          <w:rFonts w:asciiTheme="minorHAnsi" w:hAnsiTheme="minorHAnsi" w:cs="Berkeley"/>
          <w:b/>
          <w:bCs/>
          <w:color w:val="000000"/>
          <w:sz w:val="32"/>
        </w:rPr>
        <w:t>Essential Practice</w:t>
      </w:r>
      <w:r w:rsidRPr="00E16076">
        <w:rPr>
          <w:rStyle w:val="FootnoteReference"/>
          <w:rFonts w:asciiTheme="minorHAnsi" w:hAnsiTheme="minorHAnsi" w:cs="Berkeley"/>
          <w:b/>
          <w:bCs/>
          <w:color w:val="000000"/>
        </w:rPr>
        <w:footnoteReference w:id="1"/>
      </w:r>
    </w:p>
    <w:p w:rsidR="00C67F0C" w:rsidRDefault="00C67F0C" w:rsidP="00C67F0C">
      <w:pPr>
        <w:pStyle w:val="Pa0"/>
        <w:spacing w:line="240" w:lineRule="auto"/>
        <w:rPr>
          <w:rFonts w:asciiTheme="minorHAnsi" w:hAnsiTheme="minorHAnsi" w:cs="Berkeley"/>
          <w:b/>
          <w:bCs/>
          <w:color w:val="000000"/>
        </w:rPr>
      </w:pPr>
    </w:p>
    <w:p w:rsidR="000C05EB" w:rsidRPr="00E16076" w:rsidRDefault="00C67F0C" w:rsidP="00C67F0C">
      <w:pPr>
        <w:pStyle w:val="Pa0"/>
        <w:spacing w:line="240" w:lineRule="auto"/>
        <w:rPr>
          <w:rFonts w:asciiTheme="minorHAnsi" w:hAnsiTheme="minorHAnsi" w:cs="Berkeley"/>
          <w:i/>
          <w:color w:val="000000"/>
        </w:rPr>
      </w:pPr>
      <w:r w:rsidRPr="00E16076">
        <w:rPr>
          <w:rFonts w:asciiTheme="minorHAnsi" w:hAnsiTheme="minorHAnsi" w:cs="Berkeley"/>
          <w:b/>
          <w:bCs/>
          <w:i/>
          <w:color w:val="000000"/>
        </w:rPr>
        <w:t xml:space="preserve">Meeting </w:t>
      </w:r>
      <w:r w:rsidR="00E16076" w:rsidRPr="00E16076">
        <w:rPr>
          <w:rFonts w:asciiTheme="minorHAnsi" w:hAnsiTheme="minorHAnsi" w:cs="Berkeley"/>
          <w:b/>
          <w:bCs/>
          <w:i/>
          <w:color w:val="000000"/>
        </w:rPr>
        <w:t>Attendance -</w:t>
      </w:r>
      <w:r w:rsidRPr="00E16076">
        <w:rPr>
          <w:rFonts w:asciiTheme="minorHAnsi" w:hAnsiTheme="minorHAnsi" w:cs="Berkeley"/>
          <w:b/>
          <w:bCs/>
          <w:i/>
          <w:color w:val="000000"/>
        </w:rPr>
        <w:t xml:space="preserve"> </w:t>
      </w:r>
      <w:r w:rsidRPr="00E16076">
        <w:rPr>
          <w:rFonts w:asciiTheme="minorHAnsi" w:hAnsiTheme="minorHAnsi" w:cs="Berkeley"/>
          <w:i/>
          <w:color w:val="000000"/>
        </w:rPr>
        <w:t>Every board member must make it a priority to attend all board meetings and to miss a meeting only under exceptional circumstances.</w:t>
      </w:r>
    </w:p>
    <w:p w:rsidR="00C67F0C" w:rsidRPr="00E16076" w:rsidRDefault="00C67F0C" w:rsidP="00C67F0C">
      <w:pPr>
        <w:pStyle w:val="Pa0"/>
        <w:spacing w:line="240" w:lineRule="auto"/>
        <w:rPr>
          <w:rFonts w:asciiTheme="minorHAnsi" w:hAnsiTheme="minorHAnsi" w:cs="Berkeley"/>
          <w:b/>
          <w:bCs/>
          <w:i/>
          <w:color w:val="000000"/>
        </w:rPr>
      </w:pPr>
    </w:p>
    <w:p w:rsidR="00C67F0C" w:rsidRPr="00E16076" w:rsidRDefault="00C67F0C" w:rsidP="00C67F0C">
      <w:pPr>
        <w:pStyle w:val="Pa0"/>
        <w:spacing w:line="240" w:lineRule="auto"/>
        <w:rPr>
          <w:rFonts w:asciiTheme="minorHAnsi" w:hAnsiTheme="minorHAnsi" w:cs="Berkeley"/>
          <w:i/>
          <w:color w:val="000000"/>
        </w:rPr>
      </w:pPr>
      <w:r w:rsidRPr="00E16076">
        <w:rPr>
          <w:rFonts w:asciiTheme="minorHAnsi" w:hAnsiTheme="minorHAnsi" w:cs="Berkeley"/>
          <w:b/>
          <w:bCs/>
          <w:i/>
          <w:color w:val="000000"/>
        </w:rPr>
        <w:t xml:space="preserve">Term Limits - </w:t>
      </w:r>
      <w:r w:rsidRPr="00E16076">
        <w:rPr>
          <w:rFonts w:asciiTheme="minorHAnsi" w:hAnsiTheme="minorHAnsi" w:cs="Berkeley"/>
          <w:i/>
          <w:color w:val="000000"/>
        </w:rPr>
        <w:t>The board should adopt term limits and have staggered terms. As well as, a clear procedure for removing members who are not fulfilling their responsibilities.</w:t>
      </w:r>
    </w:p>
    <w:p w:rsidR="00C67F0C" w:rsidRPr="00E16076" w:rsidRDefault="00C67F0C" w:rsidP="00C67F0C">
      <w:pPr>
        <w:pStyle w:val="Pa0"/>
        <w:spacing w:line="240" w:lineRule="auto"/>
        <w:rPr>
          <w:rFonts w:asciiTheme="minorHAnsi" w:hAnsiTheme="minorHAnsi" w:cs="Berkeley"/>
          <w:b/>
          <w:bCs/>
          <w:i/>
          <w:color w:val="000000"/>
        </w:rPr>
      </w:pPr>
    </w:p>
    <w:p w:rsidR="00C67F0C" w:rsidRPr="00E16076" w:rsidRDefault="00C67F0C" w:rsidP="00C67F0C">
      <w:pPr>
        <w:pStyle w:val="Pa0"/>
        <w:spacing w:line="240" w:lineRule="auto"/>
        <w:rPr>
          <w:rFonts w:asciiTheme="minorHAnsi" w:hAnsiTheme="minorHAnsi" w:cs="Berkeley"/>
          <w:i/>
          <w:color w:val="000000"/>
        </w:rPr>
      </w:pPr>
      <w:r w:rsidRPr="00E16076">
        <w:rPr>
          <w:rFonts w:asciiTheme="minorHAnsi" w:hAnsiTheme="minorHAnsi" w:cs="Berkeley"/>
          <w:b/>
          <w:bCs/>
          <w:i/>
          <w:color w:val="000000"/>
        </w:rPr>
        <w:t xml:space="preserve">Strategic Board Recruitment - </w:t>
      </w:r>
      <w:r w:rsidRPr="00E16076">
        <w:rPr>
          <w:rFonts w:asciiTheme="minorHAnsi" w:hAnsiTheme="minorHAnsi" w:cs="Berkeley"/>
          <w:i/>
          <w:color w:val="000000"/>
        </w:rPr>
        <w:t xml:space="preserve">The board must be strategic about member recruitment and define an ideal composition for itself based on the organization’s priorities at any given moment. </w:t>
      </w:r>
    </w:p>
    <w:p w:rsidR="00C67F0C" w:rsidRPr="00E16076" w:rsidRDefault="00C67F0C" w:rsidP="00C67F0C">
      <w:pPr>
        <w:pStyle w:val="Pa0"/>
        <w:spacing w:line="240" w:lineRule="auto"/>
        <w:rPr>
          <w:rFonts w:asciiTheme="minorHAnsi" w:hAnsiTheme="minorHAnsi" w:cs="Berkeley Book"/>
          <w:i/>
          <w:color w:val="000000"/>
        </w:rPr>
      </w:pPr>
    </w:p>
    <w:p w:rsidR="00C67F0C" w:rsidRPr="00E16076" w:rsidRDefault="00C67F0C" w:rsidP="00C67F0C">
      <w:pPr>
        <w:pStyle w:val="Pa0"/>
        <w:spacing w:line="240" w:lineRule="auto"/>
        <w:rPr>
          <w:rFonts w:asciiTheme="minorHAnsi" w:hAnsiTheme="minorHAnsi" w:cs="Berkeley"/>
          <w:i/>
          <w:color w:val="000000"/>
        </w:rPr>
      </w:pPr>
      <w:r w:rsidRPr="00E16076">
        <w:rPr>
          <w:rFonts w:asciiTheme="minorHAnsi" w:hAnsiTheme="minorHAnsi" w:cs="Berkeley"/>
          <w:b/>
          <w:bCs/>
          <w:i/>
          <w:color w:val="000000"/>
        </w:rPr>
        <w:t xml:space="preserve">Strategic Plan - </w:t>
      </w:r>
      <w:r w:rsidRPr="00E16076">
        <w:rPr>
          <w:rFonts w:asciiTheme="minorHAnsi" w:hAnsiTheme="minorHAnsi" w:cs="Berkeley"/>
          <w:i/>
          <w:color w:val="000000"/>
        </w:rPr>
        <w:t xml:space="preserve">The board must play a substantive role with management in developing, approving, and supporting the strategic plan with resources. It should be created with input from the staff and </w:t>
      </w:r>
      <w:r w:rsidR="00E16076" w:rsidRPr="00E16076">
        <w:rPr>
          <w:rFonts w:asciiTheme="minorHAnsi" w:hAnsiTheme="minorHAnsi" w:cs="Berkeley"/>
          <w:i/>
          <w:color w:val="000000"/>
        </w:rPr>
        <w:t>stakeholders</w:t>
      </w:r>
      <w:r w:rsidRPr="00E16076">
        <w:rPr>
          <w:rFonts w:asciiTheme="minorHAnsi" w:hAnsiTheme="minorHAnsi" w:cs="Berkeley"/>
          <w:i/>
          <w:color w:val="000000"/>
        </w:rPr>
        <w:t xml:space="preserve"> contain progress measures, reviewed at least quarterly by the full board and updated annually.</w:t>
      </w:r>
    </w:p>
    <w:p w:rsidR="00C67F0C" w:rsidRPr="00E16076" w:rsidRDefault="00C67F0C" w:rsidP="00C67F0C">
      <w:pPr>
        <w:pStyle w:val="Pa0"/>
        <w:spacing w:line="240" w:lineRule="auto"/>
        <w:rPr>
          <w:rFonts w:asciiTheme="minorHAnsi" w:hAnsiTheme="minorHAnsi" w:cs="Berkeley"/>
          <w:b/>
          <w:bCs/>
          <w:i/>
          <w:color w:val="000000"/>
        </w:rPr>
      </w:pPr>
    </w:p>
    <w:p w:rsidR="00C67F0C" w:rsidRPr="00E16076" w:rsidRDefault="00C67F0C" w:rsidP="00C67F0C">
      <w:pPr>
        <w:pStyle w:val="Pa0"/>
        <w:spacing w:line="240" w:lineRule="auto"/>
        <w:rPr>
          <w:rFonts w:asciiTheme="minorHAnsi" w:hAnsiTheme="minorHAnsi" w:cs="Berkeley"/>
          <w:i/>
          <w:color w:val="000000"/>
        </w:rPr>
      </w:pPr>
      <w:r w:rsidRPr="00E16076">
        <w:rPr>
          <w:rFonts w:asciiTheme="minorHAnsi" w:hAnsiTheme="minorHAnsi" w:cs="Berkeley"/>
          <w:b/>
          <w:bCs/>
          <w:i/>
          <w:color w:val="000000"/>
        </w:rPr>
        <w:t xml:space="preserve">Budget Approval - </w:t>
      </w:r>
      <w:r w:rsidRPr="00E16076">
        <w:rPr>
          <w:rFonts w:asciiTheme="minorHAnsi" w:hAnsiTheme="minorHAnsi" w:cs="Berkeley"/>
          <w:i/>
          <w:color w:val="000000"/>
        </w:rPr>
        <w:t xml:space="preserve">The board must approve the annual budget. </w:t>
      </w:r>
    </w:p>
    <w:p w:rsidR="00C67F0C" w:rsidRPr="00E16076" w:rsidRDefault="00C67F0C" w:rsidP="00C67F0C">
      <w:pPr>
        <w:pStyle w:val="Pa0"/>
        <w:spacing w:line="240" w:lineRule="auto"/>
        <w:rPr>
          <w:rFonts w:asciiTheme="minorHAnsi" w:hAnsiTheme="minorHAnsi" w:cs="Berkeley"/>
          <w:b/>
          <w:bCs/>
          <w:i/>
          <w:color w:val="000000"/>
        </w:rPr>
      </w:pPr>
    </w:p>
    <w:p w:rsidR="00C67F0C" w:rsidRPr="00E16076" w:rsidRDefault="00C67F0C" w:rsidP="00C67F0C">
      <w:pPr>
        <w:pStyle w:val="Pa0"/>
        <w:spacing w:line="240" w:lineRule="auto"/>
        <w:rPr>
          <w:rFonts w:asciiTheme="minorHAnsi" w:hAnsiTheme="minorHAnsi" w:cs="Berkeley"/>
          <w:i/>
          <w:color w:val="000000"/>
        </w:rPr>
      </w:pPr>
      <w:r w:rsidRPr="00E16076">
        <w:rPr>
          <w:rFonts w:asciiTheme="minorHAnsi" w:hAnsiTheme="minorHAnsi" w:cs="Berkeley"/>
          <w:b/>
          <w:bCs/>
          <w:i/>
          <w:color w:val="000000"/>
        </w:rPr>
        <w:t xml:space="preserve">Chief Executive Job Description - </w:t>
      </w:r>
      <w:r w:rsidRPr="00E16076">
        <w:rPr>
          <w:rFonts w:asciiTheme="minorHAnsi" w:hAnsiTheme="minorHAnsi" w:cs="Berkeley"/>
          <w:i/>
          <w:color w:val="000000"/>
        </w:rPr>
        <w:t xml:space="preserve">The board must develop a written job description for the chief executive and together with the chief executive define the annual expectations and goals. These goals should be mutually agreed upon. </w:t>
      </w:r>
    </w:p>
    <w:p w:rsidR="00C67F0C" w:rsidRPr="00E16076" w:rsidRDefault="00C67F0C" w:rsidP="00C67F0C">
      <w:pPr>
        <w:pStyle w:val="Pa0"/>
        <w:spacing w:line="240" w:lineRule="auto"/>
        <w:rPr>
          <w:rFonts w:asciiTheme="minorHAnsi" w:hAnsiTheme="minorHAnsi" w:cs="Berkeley"/>
          <w:i/>
          <w:color w:val="000000"/>
        </w:rPr>
      </w:pPr>
    </w:p>
    <w:p w:rsidR="00C67F0C" w:rsidRPr="00E16076" w:rsidRDefault="00C67F0C" w:rsidP="00C67F0C">
      <w:pPr>
        <w:pStyle w:val="Pa0"/>
        <w:spacing w:line="240" w:lineRule="auto"/>
        <w:rPr>
          <w:rFonts w:asciiTheme="minorHAnsi" w:hAnsiTheme="minorHAnsi" w:cs="Berkeley"/>
          <w:i/>
          <w:color w:val="000000"/>
        </w:rPr>
      </w:pPr>
      <w:r w:rsidRPr="00E16076">
        <w:rPr>
          <w:rFonts w:asciiTheme="minorHAnsi" w:hAnsiTheme="minorHAnsi" w:cs="Berkeley"/>
          <w:b/>
          <w:bCs/>
          <w:i/>
          <w:color w:val="000000"/>
        </w:rPr>
        <w:t xml:space="preserve">Chief Executive Evaluation - </w:t>
      </w:r>
      <w:r w:rsidRPr="00E16076">
        <w:rPr>
          <w:rFonts w:asciiTheme="minorHAnsi" w:hAnsiTheme="minorHAnsi" w:cs="Berkeley"/>
          <w:i/>
          <w:color w:val="000000"/>
        </w:rPr>
        <w:t>The board must evaluate the chief executive’s performance annually; the evaluation should be written and involve the full board.  The board need to determine compensation that is fair to retain highly qualified candidates and that is based on achieving goals/performance. There should also be a written succession plan in place.</w:t>
      </w:r>
    </w:p>
    <w:p w:rsidR="00C67F0C" w:rsidRPr="00E16076" w:rsidRDefault="00C67F0C" w:rsidP="00C67F0C">
      <w:pPr>
        <w:pStyle w:val="Pa0"/>
        <w:spacing w:line="240" w:lineRule="auto"/>
        <w:rPr>
          <w:rFonts w:asciiTheme="minorHAnsi" w:hAnsiTheme="minorHAnsi" w:cs="Berkeley"/>
          <w:b/>
          <w:bCs/>
          <w:i/>
          <w:color w:val="000000"/>
        </w:rPr>
      </w:pPr>
    </w:p>
    <w:p w:rsidR="00C67F0C" w:rsidRPr="00E16076" w:rsidRDefault="00C67F0C" w:rsidP="00C67F0C">
      <w:pPr>
        <w:pStyle w:val="Pa0"/>
        <w:spacing w:line="240" w:lineRule="auto"/>
        <w:rPr>
          <w:rFonts w:asciiTheme="minorHAnsi" w:hAnsiTheme="minorHAnsi" w:cs="Berkeley"/>
          <w:i/>
          <w:color w:val="000000"/>
        </w:rPr>
      </w:pPr>
      <w:r w:rsidRPr="00E16076">
        <w:rPr>
          <w:rFonts w:asciiTheme="minorHAnsi" w:hAnsiTheme="minorHAnsi" w:cs="Berkeley"/>
          <w:b/>
          <w:bCs/>
          <w:i/>
          <w:color w:val="000000"/>
        </w:rPr>
        <w:t xml:space="preserve">Audit - </w:t>
      </w:r>
      <w:r w:rsidRPr="00E16076">
        <w:rPr>
          <w:rFonts w:asciiTheme="minorHAnsi" w:hAnsiTheme="minorHAnsi" w:cs="Berkeley"/>
          <w:i/>
          <w:color w:val="000000"/>
        </w:rPr>
        <w:t xml:space="preserve">Every charitable organization with $1 million or more in revenue should undertake an audit annually. It is the board’s role to select the auditor and meet with him or her in an executive session without staff present to discuss the results. Auditing services should be put out for bid every three years. The audit committee should be separate from the finance committee. </w:t>
      </w:r>
    </w:p>
    <w:p w:rsidR="00C67F0C" w:rsidRPr="00E16076" w:rsidRDefault="00C67F0C" w:rsidP="00C67F0C">
      <w:pPr>
        <w:spacing w:after="0" w:line="240" w:lineRule="auto"/>
        <w:rPr>
          <w:i/>
          <w:sz w:val="24"/>
          <w:szCs w:val="24"/>
        </w:rPr>
      </w:pPr>
    </w:p>
    <w:p w:rsidR="00C67F0C" w:rsidRPr="00E16076" w:rsidRDefault="00C67F0C" w:rsidP="00C67F0C">
      <w:pPr>
        <w:spacing w:after="0" w:line="240" w:lineRule="auto"/>
        <w:rPr>
          <w:i/>
          <w:sz w:val="24"/>
          <w:szCs w:val="24"/>
        </w:rPr>
      </w:pPr>
      <w:r w:rsidRPr="00E16076">
        <w:rPr>
          <w:b/>
          <w:i/>
          <w:sz w:val="24"/>
          <w:szCs w:val="24"/>
        </w:rPr>
        <w:t xml:space="preserve">Finances </w:t>
      </w:r>
      <w:r w:rsidRPr="00E16076">
        <w:rPr>
          <w:i/>
          <w:sz w:val="24"/>
          <w:szCs w:val="24"/>
        </w:rPr>
        <w:t xml:space="preserve">– Every board must have expertise in budgeting and finance. The board must have a finance committee that review financial statements monthly showing budget to actual and variances. Financial statement </w:t>
      </w:r>
      <w:r w:rsidR="00E16076" w:rsidRPr="00E16076">
        <w:rPr>
          <w:i/>
          <w:sz w:val="24"/>
          <w:szCs w:val="24"/>
        </w:rPr>
        <w:t>should</w:t>
      </w:r>
      <w:r w:rsidRPr="00E16076">
        <w:rPr>
          <w:i/>
          <w:sz w:val="24"/>
          <w:szCs w:val="24"/>
        </w:rPr>
        <w:t xml:space="preserve"> be review by the full board at least quarterly. Clear finance policies are to be set by the board, which include a division of duties. A realistic annual budget is prepared by the staff, presented to the finance committee, and approved by the full board.</w:t>
      </w:r>
    </w:p>
    <w:p w:rsidR="00C67F0C" w:rsidRPr="00E16076" w:rsidRDefault="00C67F0C" w:rsidP="00C67F0C">
      <w:pPr>
        <w:spacing w:after="0" w:line="240" w:lineRule="auto"/>
        <w:rPr>
          <w:i/>
        </w:rPr>
      </w:pPr>
    </w:p>
    <w:p w:rsidR="00C67F0C" w:rsidRDefault="00C67F0C" w:rsidP="00C67F0C">
      <w:pPr>
        <w:spacing w:line="240" w:lineRule="auto"/>
        <w:rPr>
          <w:rFonts w:cs="Berkeley"/>
          <w:b/>
          <w:color w:val="000000"/>
          <w:sz w:val="32"/>
          <w:szCs w:val="24"/>
        </w:rPr>
      </w:pPr>
      <w:r w:rsidRPr="00C67F0C">
        <w:rPr>
          <w:b/>
          <w:sz w:val="24"/>
          <w:szCs w:val="24"/>
        </w:rPr>
        <w:t>F</w:t>
      </w:r>
      <w:r>
        <w:rPr>
          <w:b/>
          <w:sz w:val="24"/>
          <w:szCs w:val="24"/>
        </w:rPr>
        <w:t>undraising</w:t>
      </w:r>
      <w:r w:rsidRPr="00C67F0C">
        <w:rPr>
          <w:b/>
          <w:sz w:val="24"/>
          <w:szCs w:val="24"/>
        </w:rPr>
        <w:t xml:space="preserve"> </w:t>
      </w:r>
      <w:r w:rsidRPr="00C67F0C">
        <w:rPr>
          <w:sz w:val="24"/>
          <w:szCs w:val="24"/>
        </w:rPr>
        <w:t xml:space="preserve">– </w:t>
      </w:r>
      <w:r>
        <w:rPr>
          <w:sz w:val="24"/>
          <w:szCs w:val="24"/>
        </w:rPr>
        <w:t>The board is to</w:t>
      </w:r>
      <w:r w:rsidRPr="00C67F0C">
        <w:rPr>
          <w:sz w:val="24"/>
          <w:szCs w:val="24"/>
        </w:rPr>
        <w:t xml:space="preserve"> </w:t>
      </w:r>
      <w:r>
        <w:rPr>
          <w:sz w:val="24"/>
          <w:szCs w:val="24"/>
        </w:rPr>
        <w:t>ensure ethical and legal policies are used to guide fundraising, this includes: setting a gift acceptance policy, determining that staff is trained on solicitation laws, and confirm that fundraisers are not compensated on commission or percentage of gifts raised (this does not include online fees). Donations must be properly acknowledges by IRS standards, generally within 48 hours. Contributions are to be used for the purposes of the donors’ intent.</w:t>
      </w:r>
      <w:r>
        <w:rPr>
          <w:rFonts w:cs="Berkeley"/>
          <w:b/>
          <w:color w:val="000000"/>
          <w:sz w:val="32"/>
          <w:szCs w:val="24"/>
        </w:rPr>
        <w:br w:type="page"/>
      </w:r>
    </w:p>
    <w:p w:rsidR="00C67F0C" w:rsidRPr="00C67F0C" w:rsidRDefault="00C67F0C" w:rsidP="00C67F0C">
      <w:pPr>
        <w:spacing w:after="0" w:line="240" w:lineRule="auto"/>
        <w:jc w:val="center"/>
        <w:rPr>
          <w:rFonts w:cs="Berkeley"/>
          <w:b/>
          <w:color w:val="000000"/>
          <w:sz w:val="32"/>
          <w:szCs w:val="24"/>
        </w:rPr>
      </w:pPr>
      <w:r w:rsidRPr="00C67F0C">
        <w:rPr>
          <w:rFonts w:cs="Berkeley"/>
          <w:b/>
          <w:color w:val="000000"/>
          <w:sz w:val="32"/>
          <w:szCs w:val="24"/>
        </w:rPr>
        <w:lastRenderedPageBreak/>
        <w:t>Leading Practices</w:t>
      </w:r>
    </w:p>
    <w:p w:rsidR="00C67F0C" w:rsidRDefault="00C67F0C" w:rsidP="00C67F0C">
      <w:pPr>
        <w:pStyle w:val="Pa0"/>
        <w:spacing w:line="240" w:lineRule="auto"/>
        <w:rPr>
          <w:rFonts w:asciiTheme="minorHAnsi" w:hAnsiTheme="minorHAnsi" w:cs="Berkeley"/>
          <w:b/>
          <w:bCs/>
          <w:color w:val="000000"/>
        </w:rPr>
      </w:pPr>
    </w:p>
    <w:p w:rsidR="00C67F0C" w:rsidRPr="00C67F0C" w:rsidRDefault="00C67F0C" w:rsidP="00C67F0C">
      <w:pPr>
        <w:pStyle w:val="Pa0"/>
        <w:spacing w:line="240" w:lineRule="auto"/>
        <w:rPr>
          <w:rFonts w:asciiTheme="minorHAnsi" w:hAnsiTheme="minorHAnsi" w:cs="Berkeley"/>
          <w:color w:val="000000"/>
        </w:rPr>
      </w:pPr>
      <w:r w:rsidRPr="00C67F0C">
        <w:rPr>
          <w:rFonts w:asciiTheme="minorHAnsi" w:hAnsiTheme="minorHAnsi" w:cs="Berkeley"/>
          <w:b/>
          <w:bCs/>
          <w:color w:val="000000"/>
        </w:rPr>
        <w:t xml:space="preserve">Consent Agendas </w:t>
      </w:r>
      <w:r>
        <w:rPr>
          <w:rFonts w:asciiTheme="minorHAnsi" w:hAnsiTheme="minorHAnsi" w:cs="Berkeley"/>
          <w:b/>
          <w:bCs/>
          <w:color w:val="000000"/>
        </w:rPr>
        <w:t xml:space="preserve">- </w:t>
      </w:r>
      <w:r w:rsidRPr="00C67F0C">
        <w:rPr>
          <w:rFonts w:asciiTheme="minorHAnsi" w:hAnsiTheme="minorHAnsi" w:cs="Berkeley"/>
          <w:color w:val="000000"/>
        </w:rPr>
        <w:t xml:space="preserve">The board should include consent agendas in its board meeting agendas. </w:t>
      </w:r>
    </w:p>
    <w:p w:rsidR="00C67F0C" w:rsidRPr="00C67F0C" w:rsidRDefault="00C67F0C" w:rsidP="00C67F0C">
      <w:pPr>
        <w:pStyle w:val="Pa0"/>
        <w:spacing w:line="240" w:lineRule="auto"/>
        <w:rPr>
          <w:rFonts w:asciiTheme="minorHAnsi" w:hAnsiTheme="minorHAnsi" w:cs="Berkeley"/>
          <w:b/>
          <w:bCs/>
          <w:color w:val="000000"/>
        </w:rPr>
      </w:pPr>
    </w:p>
    <w:p w:rsidR="00C67F0C" w:rsidRPr="00C67F0C" w:rsidRDefault="00C67F0C" w:rsidP="00C67F0C">
      <w:pPr>
        <w:pStyle w:val="Pa0"/>
        <w:spacing w:line="240" w:lineRule="auto"/>
        <w:rPr>
          <w:rFonts w:asciiTheme="minorHAnsi" w:hAnsiTheme="minorHAnsi" w:cs="Berkeley"/>
          <w:color w:val="000000"/>
        </w:rPr>
      </w:pPr>
      <w:r w:rsidRPr="00C67F0C">
        <w:rPr>
          <w:rFonts w:asciiTheme="minorHAnsi" w:hAnsiTheme="minorHAnsi" w:cs="Berkeley"/>
          <w:b/>
          <w:bCs/>
          <w:color w:val="000000"/>
        </w:rPr>
        <w:t xml:space="preserve">Executive Sessions </w:t>
      </w:r>
      <w:r>
        <w:rPr>
          <w:rFonts w:asciiTheme="minorHAnsi" w:hAnsiTheme="minorHAnsi" w:cs="Berkeley"/>
          <w:b/>
          <w:bCs/>
          <w:color w:val="000000"/>
        </w:rPr>
        <w:t xml:space="preserve">- </w:t>
      </w:r>
      <w:r w:rsidRPr="00C67F0C">
        <w:rPr>
          <w:rFonts w:asciiTheme="minorHAnsi" w:hAnsiTheme="minorHAnsi" w:cs="Berkeley"/>
          <w:color w:val="000000"/>
        </w:rPr>
        <w:t xml:space="preserve">The board should have regularly scheduled executive sessions. </w:t>
      </w:r>
    </w:p>
    <w:p w:rsidR="00C67F0C" w:rsidRPr="00C67F0C" w:rsidRDefault="00C67F0C" w:rsidP="00C67F0C">
      <w:pPr>
        <w:pStyle w:val="Pa0"/>
        <w:spacing w:line="240" w:lineRule="auto"/>
        <w:rPr>
          <w:rFonts w:asciiTheme="minorHAnsi" w:hAnsiTheme="minorHAnsi" w:cs="Berkeley Book"/>
          <w:color w:val="000000"/>
        </w:rPr>
      </w:pPr>
    </w:p>
    <w:p w:rsidR="00C67F0C" w:rsidRPr="00C67F0C" w:rsidRDefault="00C67F0C" w:rsidP="00C67F0C">
      <w:pPr>
        <w:pStyle w:val="Pa0"/>
        <w:spacing w:line="240" w:lineRule="auto"/>
        <w:rPr>
          <w:rFonts w:asciiTheme="minorHAnsi" w:hAnsiTheme="minorHAnsi" w:cs="Berkeley Book"/>
        </w:rPr>
      </w:pPr>
      <w:r w:rsidRPr="00C67F0C">
        <w:rPr>
          <w:rFonts w:asciiTheme="minorHAnsi" w:hAnsiTheme="minorHAnsi" w:cs="Berkeley"/>
          <w:b/>
          <w:bCs/>
          <w:color w:val="000000"/>
        </w:rPr>
        <w:t>Board Diversity and Inclusion</w:t>
      </w:r>
      <w:r>
        <w:rPr>
          <w:rFonts w:asciiTheme="minorHAnsi" w:hAnsiTheme="minorHAnsi" w:cs="Berkeley"/>
          <w:b/>
          <w:bCs/>
          <w:color w:val="000000"/>
        </w:rPr>
        <w:t xml:space="preserve"> - </w:t>
      </w:r>
      <w:r w:rsidRPr="00C67F0C">
        <w:rPr>
          <w:rFonts w:asciiTheme="minorHAnsi" w:hAnsiTheme="minorHAnsi" w:cs="Berkeley"/>
          <w:color w:val="000000"/>
        </w:rPr>
        <w:t>The board should be intentional in its recruitment and engagement of diverse board members and foster a culture of inclusivity.</w:t>
      </w:r>
    </w:p>
    <w:p w:rsidR="00C67F0C" w:rsidRPr="00C67F0C" w:rsidRDefault="00C67F0C" w:rsidP="00C67F0C">
      <w:pPr>
        <w:pStyle w:val="Pa0"/>
        <w:spacing w:line="240" w:lineRule="auto"/>
        <w:rPr>
          <w:rFonts w:asciiTheme="minorHAnsi" w:hAnsiTheme="minorHAnsi" w:cs="Berkeley"/>
          <w:b/>
          <w:bCs/>
        </w:rPr>
      </w:pPr>
    </w:p>
    <w:p w:rsidR="00C67F0C" w:rsidRPr="00C67F0C" w:rsidRDefault="00C67F0C" w:rsidP="00C67F0C">
      <w:pPr>
        <w:pStyle w:val="Pa0"/>
        <w:spacing w:line="240" w:lineRule="auto"/>
        <w:rPr>
          <w:rFonts w:asciiTheme="minorHAnsi" w:hAnsiTheme="minorHAnsi" w:cs="Berkeley"/>
        </w:rPr>
      </w:pPr>
      <w:r w:rsidRPr="00C67F0C">
        <w:rPr>
          <w:rFonts w:asciiTheme="minorHAnsi" w:hAnsiTheme="minorHAnsi" w:cs="Berkeley"/>
          <w:b/>
          <w:bCs/>
        </w:rPr>
        <w:t xml:space="preserve">Board Orientation </w:t>
      </w:r>
      <w:r>
        <w:rPr>
          <w:rFonts w:asciiTheme="minorHAnsi" w:hAnsiTheme="minorHAnsi" w:cs="Berkeley"/>
          <w:b/>
          <w:bCs/>
        </w:rPr>
        <w:t xml:space="preserve">- </w:t>
      </w:r>
      <w:r w:rsidRPr="00C67F0C">
        <w:rPr>
          <w:rFonts w:asciiTheme="minorHAnsi" w:hAnsiTheme="minorHAnsi" w:cs="Berkeley"/>
        </w:rPr>
        <w:t xml:space="preserve">The board should formalize its new member orientation process. </w:t>
      </w:r>
      <w:r>
        <w:rPr>
          <w:rFonts w:asciiTheme="minorHAnsi" w:hAnsiTheme="minorHAnsi" w:cs="Berkeley"/>
        </w:rPr>
        <w:t xml:space="preserve">Orientation should </w:t>
      </w:r>
      <w:r w:rsidR="00E16076">
        <w:rPr>
          <w:rFonts w:asciiTheme="minorHAnsi" w:hAnsiTheme="minorHAnsi" w:cs="Berkeley"/>
        </w:rPr>
        <w:t>cover</w:t>
      </w:r>
      <w:r>
        <w:rPr>
          <w:rFonts w:asciiTheme="minorHAnsi" w:hAnsiTheme="minorHAnsi" w:cs="Berkeley"/>
        </w:rPr>
        <w:t xml:space="preserve"> roles, responsibilities, legal requirements, code of ethics and conflict of interest.</w:t>
      </w:r>
    </w:p>
    <w:p w:rsidR="00C67F0C" w:rsidRPr="00C67F0C" w:rsidRDefault="00C67F0C" w:rsidP="00C67F0C">
      <w:pPr>
        <w:pStyle w:val="Pa0"/>
        <w:spacing w:line="240" w:lineRule="auto"/>
        <w:rPr>
          <w:rFonts w:asciiTheme="minorHAnsi" w:hAnsiTheme="minorHAnsi" w:cs="Berkeley"/>
          <w:b/>
          <w:bCs/>
        </w:rPr>
      </w:pPr>
    </w:p>
    <w:p w:rsidR="00C67F0C" w:rsidRDefault="00C67F0C" w:rsidP="00C67F0C">
      <w:pPr>
        <w:pStyle w:val="Pa0"/>
        <w:spacing w:line="240" w:lineRule="auto"/>
        <w:rPr>
          <w:rFonts w:asciiTheme="minorHAnsi" w:hAnsiTheme="minorHAnsi" w:cs="Berkeley"/>
          <w:b/>
          <w:bCs/>
        </w:rPr>
      </w:pPr>
      <w:r>
        <w:rPr>
          <w:rFonts w:asciiTheme="minorHAnsi" w:hAnsiTheme="minorHAnsi" w:cs="Berkeley"/>
          <w:b/>
          <w:bCs/>
        </w:rPr>
        <w:t xml:space="preserve">Mission Review - </w:t>
      </w:r>
      <w:r w:rsidRPr="00C67F0C">
        <w:rPr>
          <w:rFonts w:asciiTheme="minorHAnsi" w:hAnsiTheme="minorHAnsi" w:cs="Berkeley"/>
        </w:rPr>
        <w:t>The board should review the</w:t>
      </w:r>
      <w:r>
        <w:rPr>
          <w:rFonts w:asciiTheme="minorHAnsi" w:hAnsiTheme="minorHAnsi" w:cs="Berkeley"/>
        </w:rPr>
        <w:t xml:space="preserve"> mission annually and update as needed</w:t>
      </w:r>
      <w:r>
        <w:rPr>
          <w:rFonts w:asciiTheme="minorHAnsi" w:hAnsiTheme="minorHAnsi" w:cs="Berkeley"/>
          <w:b/>
          <w:bCs/>
        </w:rPr>
        <w:t xml:space="preserve"> </w:t>
      </w:r>
    </w:p>
    <w:p w:rsidR="00C67F0C" w:rsidRDefault="00C67F0C" w:rsidP="00C67F0C">
      <w:pPr>
        <w:pStyle w:val="Pa0"/>
        <w:spacing w:line="240" w:lineRule="auto"/>
        <w:rPr>
          <w:rFonts w:asciiTheme="minorHAnsi" w:hAnsiTheme="minorHAnsi" w:cs="Berkeley"/>
          <w:b/>
          <w:bCs/>
        </w:rPr>
      </w:pPr>
    </w:p>
    <w:p w:rsidR="00C67F0C" w:rsidRPr="00C67F0C" w:rsidRDefault="00C67F0C" w:rsidP="00C67F0C">
      <w:pPr>
        <w:pStyle w:val="Pa0"/>
        <w:spacing w:line="240" w:lineRule="auto"/>
        <w:rPr>
          <w:rFonts w:asciiTheme="minorHAnsi" w:hAnsiTheme="minorHAnsi" w:cs="Berkeley"/>
        </w:rPr>
      </w:pPr>
      <w:r w:rsidRPr="00C67F0C">
        <w:rPr>
          <w:rFonts w:asciiTheme="minorHAnsi" w:hAnsiTheme="minorHAnsi" w:cs="Berkeley"/>
          <w:b/>
          <w:bCs/>
        </w:rPr>
        <w:t xml:space="preserve">Bylaws Review </w:t>
      </w:r>
      <w:r>
        <w:rPr>
          <w:rFonts w:asciiTheme="minorHAnsi" w:hAnsiTheme="minorHAnsi" w:cs="Berkeley"/>
          <w:b/>
          <w:bCs/>
        </w:rPr>
        <w:t xml:space="preserve">- </w:t>
      </w:r>
      <w:r w:rsidRPr="00C67F0C">
        <w:rPr>
          <w:rFonts w:asciiTheme="minorHAnsi" w:hAnsiTheme="minorHAnsi" w:cs="Berkeley"/>
        </w:rPr>
        <w:t xml:space="preserve">The board should review the bylaws periodically and ensure timely amendments when necessary. </w:t>
      </w:r>
    </w:p>
    <w:p w:rsidR="00C67F0C" w:rsidRPr="00C67F0C" w:rsidRDefault="00C67F0C" w:rsidP="00C67F0C">
      <w:pPr>
        <w:pStyle w:val="Pa0"/>
        <w:spacing w:line="240" w:lineRule="auto"/>
        <w:rPr>
          <w:rFonts w:asciiTheme="minorHAnsi" w:hAnsiTheme="minorHAnsi" w:cs="Berkeley"/>
          <w:b/>
          <w:bCs/>
        </w:rPr>
      </w:pPr>
    </w:p>
    <w:p w:rsidR="00C67F0C" w:rsidRPr="00C67F0C" w:rsidRDefault="00C67F0C" w:rsidP="00C67F0C">
      <w:pPr>
        <w:pStyle w:val="Pa0"/>
        <w:spacing w:line="240" w:lineRule="auto"/>
        <w:rPr>
          <w:rFonts w:asciiTheme="minorHAnsi" w:hAnsiTheme="minorHAnsi" w:cs="Berkeley"/>
        </w:rPr>
      </w:pPr>
      <w:r w:rsidRPr="00C67F0C">
        <w:rPr>
          <w:rFonts w:asciiTheme="minorHAnsi" w:hAnsiTheme="minorHAnsi" w:cs="Berkeley"/>
          <w:b/>
          <w:bCs/>
        </w:rPr>
        <w:t xml:space="preserve">Chief Executive Serving on the Board </w:t>
      </w:r>
      <w:r>
        <w:rPr>
          <w:rFonts w:asciiTheme="minorHAnsi" w:hAnsiTheme="minorHAnsi" w:cs="Berkeley"/>
          <w:b/>
          <w:bCs/>
        </w:rPr>
        <w:t xml:space="preserve">- </w:t>
      </w:r>
      <w:r w:rsidRPr="00C67F0C">
        <w:rPr>
          <w:rFonts w:asciiTheme="minorHAnsi" w:hAnsiTheme="minorHAnsi" w:cs="Berkeley"/>
        </w:rPr>
        <w:t xml:space="preserve">The chief executive should be an ex officio, non-voting member of the board. </w:t>
      </w:r>
    </w:p>
    <w:p w:rsidR="00C67F0C" w:rsidRPr="00C67F0C" w:rsidRDefault="00C67F0C" w:rsidP="00C67F0C">
      <w:pPr>
        <w:pStyle w:val="Pa0"/>
        <w:spacing w:line="240" w:lineRule="auto"/>
        <w:rPr>
          <w:rFonts w:asciiTheme="minorHAnsi" w:hAnsiTheme="minorHAnsi" w:cs="Berkeley"/>
          <w:b/>
          <w:bCs/>
        </w:rPr>
      </w:pPr>
    </w:p>
    <w:p w:rsidR="00C67F0C" w:rsidRPr="00C67F0C" w:rsidRDefault="00C67F0C" w:rsidP="00C67F0C">
      <w:pPr>
        <w:pStyle w:val="Pa0"/>
        <w:spacing w:line="240" w:lineRule="auto"/>
        <w:rPr>
          <w:rFonts w:asciiTheme="minorHAnsi" w:hAnsiTheme="minorHAnsi" w:cs="Berkeley"/>
        </w:rPr>
      </w:pPr>
      <w:r w:rsidRPr="00C67F0C">
        <w:rPr>
          <w:rFonts w:asciiTheme="minorHAnsi" w:hAnsiTheme="minorHAnsi" w:cs="Berkeley"/>
          <w:b/>
          <w:bCs/>
        </w:rPr>
        <w:t>Board Retreat</w:t>
      </w:r>
      <w:r>
        <w:rPr>
          <w:rFonts w:asciiTheme="minorHAnsi" w:hAnsiTheme="minorHAnsi" w:cs="Berkeley"/>
          <w:b/>
          <w:bCs/>
        </w:rPr>
        <w:t xml:space="preserve"> - </w:t>
      </w:r>
      <w:r w:rsidRPr="00C67F0C">
        <w:rPr>
          <w:rFonts w:asciiTheme="minorHAnsi" w:hAnsiTheme="minorHAnsi" w:cs="Berkeley"/>
        </w:rPr>
        <w:t>The board should include an annual retreat in its meeting schedule.</w:t>
      </w:r>
    </w:p>
    <w:p w:rsidR="00C67F0C" w:rsidRPr="00C67F0C" w:rsidRDefault="00C67F0C" w:rsidP="00C67F0C">
      <w:pPr>
        <w:pStyle w:val="Pa0"/>
        <w:spacing w:line="240" w:lineRule="auto"/>
        <w:rPr>
          <w:rFonts w:asciiTheme="minorHAnsi" w:hAnsiTheme="minorHAnsi" w:cs="Berkeley"/>
          <w:b/>
          <w:bCs/>
        </w:rPr>
      </w:pPr>
    </w:p>
    <w:p w:rsidR="00C67F0C" w:rsidRPr="00C67F0C" w:rsidRDefault="00C67F0C" w:rsidP="00C67F0C">
      <w:pPr>
        <w:pStyle w:val="Pa0"/>
        <w:spacing w:line="240" w:lineRule="auto"/>
        <w:rPr>
          <w:rFonts w:asciiTheme="minorHAnsi" w:hAnsiTheme="minorHAnsi" w:cs="Berkeley"/>
        </w:rPr>
      </w:pPr>
      <w:r w:rsidRPr="00C67F0C">
        <w:rPr>
          <w:rFonts w:asciiTheme="minorHAnsi" w:hAnsiTheme="minorHAnsi" w:cs="Berkeley"/>
          <w:b/>
          <w:bCs/>
        </w:rPr>
        <w:t>Board Size</w:t>
      </w:r>
      <w:r>
        <w:rPr>
          <w:rFonts w:asciiTheme="minorHAnsi" w:hAnsiTheme="minorHAnsi" w:cs="Berkeley"/>
          <w:b/>
          <w:bCs/>
        </w:rPr>
        <w:t xml:space="preserve"> - </w:t>
      </w:r>
      <w:r w:rsidRPr="00C67F0C">
        <w:rPr>
          <w:rFonts w:asciiTheme="minorHAnsi" w:hAnsiTheme="minorHAnsi" w:cs="Berkeley"/>
        </w:rPr>
        <w:t>The board should determine its optimal size based on its needs.</w:t>
      </w:r>
    </w:p>
    <w:p w:rsidR="00C67F0C" w:rsidRPr="00C67F0C" w:rsidRDefault="00C67F0C" w:rsidP="00C67F0C">
      <w:pPr>
        <w:pStyle w:val="Pa0"/>
        <w:spacing w:line="240" w:lineRule="auto"/>
        <w:rPr>
          <w:rFonts w:asciiTheme="minorHAnsi" w:hAnsiTheme="minorHAnsi" w:cs="Berkeley"/>
          <w:b/>
          <w:bCs/>
        </w:rPr>
      </w:pPr>
    </w:p>
    <w:p w:rsidR="00C67F0C" w:rsidRPr="00C67F0C" w:rsidRDefault="00C67F0C" w:rsidP="00C67F0C">
      <w:pPr>
        <w:pStyle w:val="Pa0"/>
        <w:spacing w:line="240" w:lineRule="auto"/>
        <w:rPr>
          <w:rFonts w:asciiTheme="minorHAnsi" w:hAnsiTheme="minorHAnsi" w:cs="Berkeley Book"/>
        </w:rPr>
      </w:pPr>
      <w:r w:rsidRPr="00C67F0C">
        <w:rPr>
          <w:rFonts w:asciiTheme="minorHAnsi" w:hAnsiTheme="minorHAnsi" w:cs="Berkeley"/>
          <w:b/>
          <w:bCs/>
        </w:rPr>
        <w:t xml:space="preserve">Committees </w:t>
      </w:r>
      <w:r>
        <w:rPr>
          <w:rFonts w:asciiTheme="minorHAnsi" w:hAnsiTheme="minorHAnsi" w:cs="Berkeley"/>
          <w:b/>
          <w:bCs/>
        </w:rPr>
        <w:t xml:space="preserve">- </w:t>
      </w:r>
      <w:r w:rsidRPr="00C67F0C">
        <w:rPr>
          <w:rFonts w:asciiTheme="minorHAnsi" w:hAnsiTheme="minorHAnsi" w:cs="Berkeley"/>
        </w:rPr>
        <w:t xml:space="preserve">The board’s standing committee structure should be lean and strategic and complemented by the use of task forces. </w:t>
      </w:r>
    </w:p>
    <w:p w:rsidR="00C67F0C" w:rsidRPr="00C67F0C" w:rsidRDefault="00C67F0C" w:rsidP="00C67F0C">
      <w:pPr>
        <w:pStyle w:val="Pa0"/>
        <w:spacing w:line="240" w:lineRule="auto"/>
        <w:rPr>
          <w:rFonts w:asciiTheme="minorHAnsi" w:hAnsiTheme="minorHAnsi" w:cs="Berkeley Book"/>
        </w:rPr>
      </w:pPr>
    </w:p>
    <w:p w:rsidR="00C67F0C" w:rsidRDefault="00C67F0C" w:rsidP="00C67F0C">
      <w:pPr>
        <w:pStyle w:val="Pa0"/>
        <w:spacing w:line="240" w:lineRule="auto"/>
        <w:rPr>
          <w:rFonts w:asciiTheme="minorHAnsi" w:hAnsiTheme="minorHAnsi" w:cs="Berkeley"/>
        </w:rPr>
      </w:pPr>
      <w:r w:rsidRPr="00C67F0C">
        <w:rPr>
          <w:rFonts w:asciiTheme="minorHAnsi" w:hAnsiTheme="minorHAnsi" w:cs="Berkeley"/>
          <w:b/>
          <w:bCs/>
        </w:rPr>
        <w:t xml:space="preserve">Executive Committee </w:t>
      </w:r>
      <w:r>
        <w:rPr>
          <w:rFonts w:asciiTheme="minorHAnsi" w:hAnsiTheme="minorHAnsi" w:cs="Berkeley"/>
          <w:b/>
          <w:bCs/>
        </w:rPr>
        <w:t xml:space="preserve">- </w:t>
      </w:r>
      <w:r w:rsidRPr="00C67F0C">
        <w:rPr>
          <w:rFonts w:asciiTheme="minorHAnsi" w:hAnsiTheme="minorHAnsi" w:cs="Berkeley"/>
        </w:rPr>
        <w:t xml:space="preserve">If the board has an executive committee, its purpose and authority level must be defined in the bylaws. </w:t>
      </w:r>
    </w:p>
    <w:p w:rsidR="00C67F0C" w:rsidRDefault="00C67F0C" w:rsidP="00C67F0C">
      <w:pPr>
        <w:pStyle w:val="Pa0"/>
        <w:spacing w:line="240" w:lineRule="auto"/>
        <w:rPr>
          <w:rFonts w:asciiTheme="minorHAnsi" w:hAnsiTheme="minorHAnsi" w:cs="Berkeley"/>
        </w:rPr>
      </w:pPr>
    </w:p>
    <w:p w:rsidR="00C67F0C" w:rsidRPr="00C67F0C" w:rsidRDefault="00C67F0C" w:rsidP="00C67F0C">
      <w:pPr>
        <w:pStyle w:val="Pa0"/>
        <w:spacing w:line="240" w:lineRule="auto"/>
        <w:rPr>
          <w:rFonts w:asciiTheme="minorHAnsi" w:hAnsiTheme="minorHAnsi" w:cs="Berkeley"/>
        </w:rPr>
      </w:pPr>
      <w:r w:rsidRPr="00C67F0C">
        <w:rPr>
          <w:rFonts w:asciiTheme="minorHAnsi" w:hAnsiTheme="minorHAnsi"/>
          <w:b/>
          <w:bCs/>
        </w:rPr>
        <w:t xml:space="preserve">Governance Committee </w:t>
      </w:r>
      <w:r>
        <w:rPr>
          <w:rFonts w:asciiTheme="minorHAnsi" w:hAnsiTheme="minorHAnsi"/>
          <w:b/>
          <w:bCs/>
        </w:rPr>
        <w:t xml:space="preserve">- </w:t>
      </w:r>
      <w:r w:rsidRPr="00C67F0C">
        <w:rPr>
          <w:rFonts w:asciiTheme="minorHAnsi" w:hAnsiTheme="minorHAnsi" w:cs="Berkeley"/>
        </w:rPr>
        <w:t xml:space="preserve">The board should either form a governance committee or ensure that the function of that committee is carried out. </w:t>
      </w:r>
    </w:p>
    <w:p w:rsidR="00C67F0C" w:rsidRPr="00C67F0C" w:rsidRDefault="00C67F0C" w:rsidP="00C67F0C">
      <w:pPr>
        <w:spacing w:after="0" w:line="240" w:lineRule="auto"/>
        <w:rPr>
          <w:sz w:val="24"/>
          <w:szCs w:val="24"/>
        </w:rPr>
      </w:pPr>
    </w:p>
    <w:p w:rsidR="00C67F0C" w:rsidRPr="00C67F0C" w:rsidRDefault="00C67F0C" w:rsidP="00C67F0C">
      <w:pPr>
        <w:pStyle w:val="Pa0"/>
        <w:spacing w:line="240" w:lineRule="auto"/>
        <w:rPr>
          <w:rFonts w:asciiTheme="minorHAnsi" w:hAnsiTheme="minorHAnsi" w:cs="Berkeley"/>
        </w:rPr>
      </w:pPr>
      <w:r w:rsidRPr="00C67F0C">
        <w:rPr>
          <w:rFonts w:asciiTheme="minorHAnsi" w:hAnsiTheme="minorHAnsi" w:cs="Berkeley"/>
          <w:b/>
          <w:bCs/>
        </w:rPr>
        <w:t xml:space="preserve">Form 990 Posting </w:t>
      </w:r>
      <w:r>
        <w:rPr>
          <w:rFonts w:asciiTheme="minorHAnsi" w:hAnsiTheme="minorHAnsi" w:cs="Berkeley"/>
          <w:b/>
          <w:bCs/>
        </w:rPr>
        <w:t xml:space="preserve">- </w:t>
      </w:r>
      <w:r w:rsidRPr="00C67F0C">
        <w:rPr>
          <w:rFonts w:asciiTheme="minorHAnsi" w:hAnsiTheme="minorHAnsi" w:cs="Berkeley"/>
        </w:rPr>
        <w:t xml:space="preserve">The nonprofit should post its Form 990 on its own Web site. </w:t>
      </w:r>
    </w:p>
    <w:p w:rsidR="00C67F0C" w:rsidRPr="00C67F0C" w:rsidRDefault="00C67F0C" w:rsidP="00C67F0C">
      <w:pPr>
        <w:spacing w:after="0" w:line="240" w:lineRule="auto"/>
        <w:rPr>
          <w:sz w:val="24"/>
          <w:szCs w:val="24"/>
        </w:rPr>
      </w:pPr>
    </w:p>
    <w:p w:rsidR="00C67F0C" w:rsidRPr="00C67F0C" w:rsidRDefault="00C67F0C" w:rsidP="00C67F0C">
      <w:pPr>
        <w:pStyle w:val="Pa0"/>
        <w:spacing w:line="240" w:lineRule="auto"/>
        <w:jc w:val="center"/>
        <w:rPr>
          <w:rFonts w:asciiTheme="minorHAnsi" w:hAnsiTheme="minorHAnsi" w:cs="ITC Franklin Gothic BookCd"/>
          <w:sz w:val="32"/>
        </w:rPr>
      </w:pPr>
      <w:r>
        <w:rPr>
          <w:rStyle w:val="A3"/>
          <w:rFonts w:asciiTheme="minorHAnsi" w:hAnsiTheme="minorHAnsi"/>
          <w:color w:val="auto"/>
          <w:sz w:val="32"/>
          <w:szCs w:val="24"/>
        </w:rPr>
        <w:t>Compliance</w:t>
      </w:r>
      <w:bookmarkStart w:id="0" w:name="_GoBack"/>
      <w:bookmarkEnd w:id="0"/>
      <w:r>
        <w:rPr>
          <w:rStyle w:val="A3"/>
          <w:rFonts w:asciiTheme="minorHAnsi" w:hAnsiTheme="minorHAnsi"/>
          <w:color w:val="auto"/>
          <w:sz w:val="32"/>
          <w:szCs w:val="24"/>
        </w:rPr>
        <w:t xml:space="preserve"> Practices</w:t>
      </w:r>
    </w:p>
    <w:p w:rsidR="00C67F0C" w:rsidRDefault="00C67F0C" w:rsidP="00C67F0C">
      <w:pPr>
        <w:pStyle w:val="Pa0"/>
        <w:spacing w:line="240" w:lineRule="auto"/>
        <w:rPr>
          <w:rFonts w:asciiTheme="minorHAnsi" w:hAnsiTheme="minorHAnsi" w:cs="Berkeley"/>
          <w:b/>
          <w:bCs/>
        </w:rPr>
      </w:pPr>
    </w:p>
    <w:p w:rsidR="00C67F0C" w:rsidRPr="00C67F0C" w:rsidRDefault="00C67F0C" w:rsidP="00C67F0C">
      <w:pPr>
        <w:pStyle w:val="Pa0"/>
        <w:spacing w:line="240" w:lineRule="auto"/>
        <w:rPr>
          <w:rFonts w:asciiTheme="minorHAnsi" w:hAnsiTheme="minorHAnsi" w:cs="Berkeley"/>
        </w:rPr>
      </w:pPr>
      <w:r w:rsidRPr="00C67F0C">
        <w:rPr>
          <w:rFonts w:asciiTheme="minorHAnsi" w:hAnsiTheme="minorHAnsi" w:cs="Berkeley"/>
          <w:b/>
          <w:bCs/>
        </w:rPr>
        <w:t xml:space="preserve">Meeting Frequency </w:t>
      </w:r>
      <w:r>
        <w:rPr>
          <w:rFonts w:asciiTheme="minorHAnsi" w:hAnsiTheme="minorHAnsi" w:cs="Berkeley"/>
          <w:b/>
          <w:bCs/>
        </w:rPr>
        <w:t xml:space="preserve">- </w:t>
      </w:r>
      <w:r w:rsidRPr="00C67F0C">
        <w:rPr>
          <w:rFonts w:asciiTheme="minorHAnsi" w:hAnsiTheme="minorHAnsi" w:cs="Berkeley"/>
        </w:rPr>
        <w:t xml:space="preserve">The board should have more than the one annual meeting required by law. </w:t>
      </w:r>
    </w:p>
    <w:p w:rsidR="00C67F0C" w:rsidRDefault="00C67F0C" w:rsidP="00C67F0C">
      <w:pPr>
        <w:pStyle w:val="Pa0"/>
        <w:spacing w:line="240" w:lineRule="auto"/>
        <w:rPr>
          <w:rFonts w:asciiTheme="minorHAnsi" w:hAnsiTheme="minorHAnsi" w:cs="Berkeley"/>
          <w:b/>
          <w:bCs/>
        </w:rPr>
      </w:pPr>
    </w:p>
    <w:p w:rsidR="00C67F0C" w:rsidRPr="00C67F0C" w:rsidRDefault="00C67F0C" w:rsidP="00C67F0C">
      <w:pPr>
        <w:pStyle w:val="Pa0"/>
        <w:spacing w:line="240" w:lineRule="auto"/>
        <w:rPr>
          <w:rFonts w:asciiTheme="minorHAnsi" w:hAnsiTheme="minorHAnsi" w:cs="Berkeley"/>
        </w:rPr>
      </w:pPr>
      <w:r w:rsidRPr="00C67F0C">
        <w:rPr>
          <w:rFonts w:asciiTheme="minorHAnsi" w:hAnsiTheme="minorHAnsi" w:cs="Berkeley"/>
          <w:b/>
          <w:bCs/>
        </w:rPr>
        <w:t>Executive Compensation</w:t>
      </w:r>
      <w:r>
        <w:rPr>
          <w:rFonts w:asciiTheme="minorHAnsi" w:hAnsiTheme="minorHAnsi" w:cs="Berkeley"/>
          <w:b/>
          <w:bCs/>
        </w:rPr>
        <w:t xml:space="preserve"> - </w:t>
      </w:r>
      <w:r w:rsidRPr="00C67F0C">
        <w:rPr>
          <w:rFonts w:asciiTheme="minorHAnsi" w:hAnsiTheme="minorHAnsi" w:cs="Berkeley"/>
        </w:rPr>
        <w:t xml:space="preserve">The board must formalize a process for setting appropriate compensation for the chief executive and approve the compensation package. </w:t>
      </w:r>
    </w:p>
    <w:p w:rsidR="00C67F0C" w:rsidRDefault="00C67F0C" w:rsidP="00C67F0C">
      <w:pPr>
        <w:pStyle w:val="Default"/>
        <w:rPr>
          <w:rFonts w:asciiTheme="minorHAnsi" w:hAnsiTheme="minorHAnsi"/>
          <w:b/>
          <w:bCs/>
          <w:color w:val="auto"/>
        </w:rPr>
      </w:pPr>
    </w:p>
    <w:p w:rsidR="00C67F0C" w:rsidRPr="00C67F0C" w:rsidRDefault="00C67F0C" w:rsidP="00C67F0C">
      <w:pPr>
        <w:pStyle w:val="Default"/>
        <w:rPr>
          <w:rFonts w:asciiTheme="minorHAnsi" w:hAnsiTheme="minorHAnsi"/>
        </w:rPr>
      </w:pPr>
      <w:r w:rsidRPr="00C67F0C">
        <w:rPr>
          <w:rFonts w:asciiTheme="minorHAnsi" w:hAnsiTheme="minorHAnsi"/>
          <w:b/>
          <w:bCs/>
          <w:color w:val="auto"/>
        </w:rPr>
        <w:t xml:space="preserve">Review of IRS Form 990 </w:t>
      </w:r>
      <w:r>
        <w:rPr>
          <w:rFonts w:asciiTheme="minorHAnsi" w:hAnsiTheme="minorHAnsi"/>
          <w:b/>
          <w:bCs/>
          <w:color w:val="auto"/>
        </w:rPr>
        <w:t xml:space="preserve">- </w:t>
      </w:r>
      <w:r w:rsidRPr="00C67F0C">
        <w:rPr>
          <w:rFonts w:asciiTheme="minorHAnsi" w:hAnsiTheme="minorHAnsi"/>
        </w:rPr>
        <w:t xml:space="preserve">The full board should review the Form 990 before it is filed. </w:t>
      </w:r>
    </w:p>
    <w:p w:rsidR="00C67F0C" w:rsidRDefault="00C67F0C" w:rsidP="00C67F0C">
      <w:pPr>
        <w:pStyle w:val="Pa0"/>
        <w:spacing w:line="240" w:lineRule="auto"/>
        <w:rPr>
          <w:rFonts w:asciiTheme="minorHAnsi" w:hAnsiTheme="minorHAnsi" w:cs="Berkeley"/>
          <w:b/>
          <w:bCs/>
        </w:rPr>
      </w:pPr>
    </w:p>
    <w:p w:rsidR="00C67F0C" w:rsidRPr="00C67F0C" w:rsidRDefault="00C67F0C" w:rsidP="00C67F0C">
      <w:pPr>
        <w:pStyle w:val="Pa0"/>
        <w:spacing w:line="240" w:lineRule="auto"/>
        <w:rPr>
          <w:rFonts w:asciiTheme="minorHAnsi" w:hAnsiTheme="minorHAnsi" w:cs="Berkeley"/>
        </w:rPr>
      </w:pPr>
      <w:r w:rsidRPr="00C67F0C">
        <w:rPr>
          <w:rFonts w:asciiTheme="minorHAnsi" w:hAnsiTheme="minorHAnsi" w:cs="Berkeley"/>
          <w:b/>
          <w:bCs/>
        </w:rPr>
        <w:t xml:space="preserve">Document Destruction and Retention </w:t>
      </w:r>
      <w:r>
        <w:rPr>
          <w:rFonts w:asciiTheme="minorHAnsi" w:hAnsiTheme="minorHAnsi" w:cs="Berkeley"/>
          <w:b/>
          <w:bCs/>
        </w:rPr>
        <w:t xml:space="preserve">- </w:t>
      </w:r>
      <w:r w:rsidRPr="00C67F0C">
        <w:rPr>
          <w:rFonts w:asciiTheme="minorHAnsi" w:hAnsiTheme="minorHAnsi" w:cs="Berkeley"/>
        </w:rPr>
        <w:t xml:space="preserve">The board must ensure that no records are destroyed when the organization is under federal investigation. </w:t>
      </w:r>
    </w:p>
    <w:p w:rsidR="00C67F0C" w:rsidRDefault="00C67F0C" w:rsidP="00C67F0C">
      <w:pPr>
        <w:pStyle w:val="Pa0"/>
        <w:spacing w:line="240" w:lineRule="auto"/>
        <w:rPr>
          <w:rFonts w:asciiTheme="minorHAnsi" w:hAnsiTheme="minorHAnsi" w:cs="Berkeley"/>
          <w:b/>
          <w:bCs/>
        </w:rPr>
      </w:pPr>
    </w:p>
    <w:p w:rsidR="00C67F0C" w:rsidRPr="00C67F0C" w:rsidRDefault="00C67F0C" w:rsidP="00C67F0C">
      <w:pPr>
        <w:pStyle w:val="Pa0"/>
        <w:spacing w:line="240" w:lineRule="auto"/>
        <w:rPr>
          <w:rFonts w:asciiTheme="minorHAnsi" w:hAnsiTheme="minorHAnsi"/>
        </w:rPr>
      </w:pPr>
      <w:r w:rsidRPr="00C67F0C">
        <w:rPr>
          <w:rFonts w:asciiTheme="minorHAnsi" w:hAnsiTheme="minorHAnsi" w:cs="Berkeley"/>
          <w:b/>
          <w:bCs/>
        </w:rPr>
        <w:t>Whistleblower Process</w:t>
      </w:r>
      <w:r>
        <w:rPr>
          <w:rFonts w:asciiTheme="minorHAnsi" w:hAnsiTheme="minorHAnsi" w:cs="Berkeley"/>
          <w:b/>
          <w:bCs/>
        </w:rPr>
        <w:t xml:space="preserve"> - </w:t>
      </w:r>
      <w:r w:rsidRPr="00C67F0C">
        <w:rPr>
          <w:rFonts w:asciiTheme="minorHAnsi" w:hAnsiTheme="minorHAnsi" w:cs="Berkeley"/>
        </w:rPr>
        <w:t>The board must ensure that no employee is punished or discriminated against because he or she reported improper conduct.</w:t>
      </w:r>
    </w:p>
    <w:sectPr w:rsidR="00C67F0C" w:rsidRPr="00C67F0C" w:rsidSect="00C67F0C">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68D" w:rsidRDefault="00A9468D" w:rsidP="00C67F0C">
      <w:pPr>
        <w:spacing w:after="0" w:line="240" w:lineRule="auto"/>
      </w:pPr>
      <w:r>
        <w:separator/>
      </w:r>
    </w:p>
  </w:endnote>
  <w:endnote w:type="continuationSeparator" w:id="0">
    <w:p w:rsidR="00A9468D" w:rsidRDefault="00A9468D" w:rsidP="00C6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keley">
    <w:altName w:val="Berkeley"/>
    <w:panose1 w:val="00000000000000000000"/>
    <w:charset w:val="00"/>
    <w:family w:val="roman"/>
    <w:notTrueType/>
    <w:pitch w:val="default"/>
    <w:sig w:usb0="00000003" w:usb1="00000000" w:usb2="00000000" w:usb3="00000000" w:csb0="00000001" w:csb1="00000000"/>
  </w:font>
  <w:font w:name="ITC Franklin Gothic BookCd">
    <w:altName w:val="ITC Franklin Gothic BookC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keley Book">
    <w:altName w:val="Berkeley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68D" w:rsidRDefault="00A9468D" w:rsidP="00C67F0C">
      <w:pPr>
        <w:spacing w:after="0" w:line="240" w:lineRule="auto"/>
      </w:pPr>
      <w:r>
        <w:separator/>
      </w:r>
    </w:p>
  </w:footnote>
  <w:footnote w:type="continuationSeparator" w:id="0">
    <w:p w:rsidR="00A9468D" w:rsidRDefault="00A9468D" w:rsidP="00C67F0C">
      <w:pPr>
        <w:spacing w:after="0" w:line="240" w:lineRule="auto"/>
      </w:pPr>
      <w:r>
        <w:continuationSeparator/>
      </w:r>
    </w:p>
  </w:footnote>
  <w:footnote w:id="1">
    <w:p w:rsidR="00C67F0C" w:rsidRDefault="00C67F0C">
      <w:pPr>
        <w:pStyle w:val="FootnoteText"/>
      </w:pPr>
      <w:r>
        <w:rPr>
          <w:rStyle w:val="FootnoteReference"/>
        </w:rPr>
        <w:footnoteRef/>
      </w:r>
      <w:r>
        <w:t xml:space="preserve"> Adapted from </w:t>
      </w:r>
      <w:r w:rsidRPr="00C67F0C">
        <w:rPr>
          <w:i/>
        </w:rPr>
        <w:t>BoardScource Recommend Governance Practices</w:t>
      </w:r>
      <w:r>
        <w:t xml:space="preserve"> 2015 and Independent Sector’s </w:t>
      </w:r>
      <w:r w:rsidRPr="00C67F0C">
        <w:rPr>
          <w:i/>
        </w:rPr>
        <w:t>Principles for Good and Ethical Practice</w:t>
      </w:r>
      <w:r>
        <w:t xml:space="preserve">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yszA3tDSxNLIwMDFX0lEKTi0uzszPAykwqgUAtXP5JCwAAAA="/>
  </w:docVars>
  <w:rsids>
    <w:rsidRoot w:val="00C67F0C"/>
    <w:rsid w:val="000C05EB"/>
    <w:rsid w:val="00A9468D"/>
    <w:rsid w:val="00C67F0C"/>
    <w:rsid w:val="00E16076"/>
    <w:rsid w:val="00FF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C67F0C"/>
    <w:pPr>
      <w:autoSpaceDE w:val="0"/>
      <w:autoSpaceDN w:val="0"/>
      <w:adjustRightInd w:val="0"/>
      <w:spacing w:after="0" w:line="241" w:lineRule="atLeast"/>
    </w:pPr>
    <w:rPr>
      <w:rFonts w:ascii="Berkeley" w:hAnsi="Berkeley"/>
      <w:sz w:val="24"/>
      <w:szCs w:val="24"/>
    </w:rPr>
  </w:style>
  <w:style w:type="character" w:customStyle="1" w:styleId="A1">
    <w:name w:val="A1"/>
    <w:uiPriority w:val="99"/>
    <w:rsid w:val="00C67F0C"/>
    <w:rPr>
      <w:rFonts w:ascii="ITC Franklin Gothic BookCd" w:hAnsi="ITC Franklin Gothic BookCd" w:cs="ITC Franklin Gothic BookCd"/>
      <w:b/>
      <w:bCs/>
      <w:color w:val="000000"/>
      <w:sz w:val="16"/>
      <w:szCs w:val="16"/>
    </w:rPr>
  </w:style>
  <w:style w:type="paragraph" w:customStyle="1" w:styleId="Default">
    <w:name w:val="Default"/>
    <w:rsid w:val="00C67F0C"/>
    <w:pPr>
      <w:autoSpaceDE w:val="0"/>
      <w:autoSpaceDN w:val="0"/>
      <w:adjustRightInd w:val="0"/>
      <w:spacing w:after="0" w:line="240" w:lineRule="auto"/>
    </w:pPr>
    <w:rPr>
      <w:rFonts w:ascii="Berkeley" w:hAnsi="Berkeley" w:cs="Berkeley"/>
      <w:color w:val="000000"/>
      <w:sz w:val="24"/>
      <w:szCs w:val="24"/>
    </w:rPr>
  </w:style>
  <w:style w:type="character" w:customStyle="1" w:styleId="A3">
    <w:name w:val="A3"/>
    <w:uiPriority w:val="99"/>
    <w:rsid w:val="00C67F0C"/>
    <w:rPr>
      <w:rFonts w:ascii="ITC Franklin Gothic BookCd" w:hAnsi="ITC Franklin Gothic BookCd" w:cs="ITC Franklin Gothic BookCd"/>
      <w:b/>
      <w:bCs/>
      <w:color w:val="000000"/>
      <w:sz w:val="30"/>
      <w:szCs w:val="30"/>
    </w:rPr>
  </w:style>
  <w:style w:type="paragraph" w:styleId="BalloonText">
    <w:name w:val="Balloon Text"/>
    <w:basedOn w:val="Normal"/>
    <w:link w:val="BalloonTextChar"/>
    <w:uiPriority w:val="99"/>
    <w:semiHidden/>
    <w:unhideWhenUsed/>
    <w:rsid w:val="00C67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F0C"/>
    <w:rPr>
      <w:rFonts w:ascii="Tahoma" w:hAnsi="Tahoma" w:cs="Tahoma"/>
      <w:sz w:val="16"/>
      <w:szCs w:val="16"/>
    </w:rPr>
  </w:style>
  <w:style w:type="paragraph" w:styleId="FootnoteText">
    <w:name w:val="footnote text"/>
    <w:basedOn w:val="Normal"/>
    <w:link w:val="FootnoteTextChar"/>
    <w:uiPriority w:val="99"/>
    <w:semiHidden/>
    <w:unhideWhenUsed/>
    <w:rsid w:val="00C67F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F0C"/>
    <w:rPr>
      <w:sz w:val="20"/>
      <w:szCs w:val="20"/>
    </w:rPr>
  </w:style>
  <w:style w:type="character" w:styleId="FootnoteReference">
    <w:name w:val="footnote reference"/>
    <w:basedOn w:val="DefaultParagraphFont"/>
    <w:uiPriority w:val="99"/>
    <w:semiHidden/>
    <w:unhideWhenUsed/>
    <w:rsid w:val="00C67F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C67F0C"/>
    <w:pPr>
      <w:autoSpaceDE w:val="0"/>
      <w:autoSpaceDN w:val="0"/>
      <w:adjustRightInd w:val="0"/>
      <w:spacing w:after="0" w:line="241" w:lineRule="atLeast"/>
    </w:pPr>
    <w:rPr>
      <w:rFonts w:ascii="Berkeley" w:hAnsi="Berkeley"/>
      <w:sz w:val="24"/>
      <w:szCs w:val="24"/>
    </w:rPr>
  </w:style>
  <w:style w:type="character" w:customStyle="1" w:styleId="A1">
    <w:name w:val="A1"/>
    <w:uiPriority w:val="99"/>
    <w:rsid w:val="00C67F0C"/>
    <w:rPr>
      <w:rFonts w:ascii="ITC Franklin Gothic BookCd" w:hAnsi="ITC Franklin Gothic BookCd" w:cs="ITC Franklin Gothic BookCd"/>
      <w:b/>
      <w:bCs/>
      <w:color w:val="000000"/>
      <w:sz w:val="16"/>
      <w:szCs w:val="16"/>
    </w:rPr>
  </w:style>
  <w:style w:type="paragraph" w:customStyle="1" w:styleId="Default">
    <w:name w:val="Default"/>
    <w:rsid w:val="00C67F0C"/>
    <w:pPr>
      <w:autoSpaceDE w:val="0"/>
      <w:autoSpaceDN w:val="0"/>
      <w:adjustRightInd w:val="0"/>
      <w:spacing w:after="0" w:line="240" w:lineRule="auto"/>
    </w:pPr>
    <w:rPr>
      <w:rFonts w:ascii="Berkeley" w:hAnsi="Berkeley" w:cs="Berkeley"/>
      <w:color w:val="000000"/>
      <w:sz w:val="24"/>
      <w:szCs w:val="24"/>
    </w:rPr>
  </w:style>
  <w:style w:type="character" w:customStyle="1" w:styleId="A3">
    <w:name w:val="A3"/>
    <w:uiPriority w:val="99"/>
    <w:rsid w:val="00C67F0C"/>
    <w:rPr>
      <w:rFonts w:ascii="ITC Franklin Gothic BookCd" w:hAnsi="ITC Franklin Gothic BookCd" w:cs="ITC Franklin Gothic BookCd"/>
      <w:b/>
      <w:bCs/>
      <w:color w:val="000000"/>
      <w:sz w:val="30"/>
      <w:szCs w:val="30"/>
    </w:rPr>
  </w:style>
  <w:style w:type="paragraph" w:styleId="BalloonText">
    <w:name w:val="Balloon Text"/>
    <w:basedOn w:val="Normal"/>
    <w:link w:val="BalloonTextChar"/>
    <w:uiPriority w:val="99"/>
    <w:semiHidden/>
    <w:unhideWhenUsed/>
    <w:rsid w:val="00C67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F0C"/>
    <w:rPr>
      <w:rFonts w:ascii="Tahoma" w:hAnsi="Tahoma" w:cs="Tahoma"/>
      <w:sz w:val="16"/>
      <w:szCs w:val="16"/>
    </w:rPr>
  </w:style>
  <w:style w:type="paragraph" w:styleId="FootnoteText">
    <w:name w:val="footnote text"/>
    <w:basedOn w:val="Normal"/>
    <w:link w:val="FootnoteTextChar"/>
    <w:uiPriority w:val="99"/>
    <w:semiHidden/>
    <w:unhideWhenUsed/>
    <w:rsid w:val="00C67F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F0C"/>
    <w:rPr>
      <w:sz w:val="20"/>
      <w:szCs w:val="20"/>
    </w:rPr>
  </w:style>
  <w:style w:type="character" w:styleId="FootnoteReference">
    <w:name w:val="footnote reference"/>
    <w:basedOn w:val="DefaultParagraphFont"/>
    <w:uiPriority w:val="99"/>
    <w:semiHidden/>
    <w:unhideWhenUsed/>
    <w:rsid w:val="00C67F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16AFC-DCBA-4605-A7D3-149F0F7AF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Chapter</dc:creator>
  <cp:lastModifiedBy>New Chapter</cp:lastModifiedBy>
  <cp:revision>2</cp:revision>
  <dcterms:created xsi:type="dcterms:W3CDTF">2017-03-29T13:45:00Z</dcterms:created>
  <dcterms:modified xsi:type="dcterms:W3CDTF">2017-03-30T15:17:00Z</dcterms:modified>
</cp:coreProperties>
</file>